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E38" w:rsidRDefault="007C0E38" w:rsidP="00E41A65">
      <w:pPr>
        <w:shd w:val="clear" w:color="auto" w:fill="FFFFFF"/>
        <w:spacing w:after="225" w:line="390" w:lineRule="atLeast"/>
        <w:jc w:val="both"/>
        <w:outlineLvl w:val="1"/>
        <w:rPr>
          <w:rFonts w:asciiTheme="majorBidi" w:eastAsia="Times New Roman" w:hAnsiTheme="majorBidi" w:cstheme="majorBidi"/>
          <w:color w:val="0070C0"/>
          <w:sz w:val="30"/>
          <w:szCs w:val="30"/>
          <w:lang w:eastAsia="fr-FR"/>
        </w:rPr>
      </w:pPr>
    </w:p>
    <w:p w:rsidR="00E41A65" w:rsidRDefault="00DD6081" w:rsidP="00B67E81">
      <w:pPr>
        <w:shd w:val="clear" w:color="auto" w:fill="FFFFFF"/>
        <w:spacing w:after="225" w:line="390" w:lineRule="atLeast"/>
        <w:outlineLvl w:val="1"/>
        <w:rPr>
          <w:rFonts w:eastAsia="Times New Roman" w:cstheme="minorHAnsi"/>
          <w:color w:val="0070C0"/>
          <w:sz w:val="30"/>
          <w:szCs w:val="30"/>
          <w:u w:val="single"/>
          <w:lang w:eastAsia="fr-FR"/>
        </w:rPr>
      </w:pPr>
      <w:r w:rsidRPr="00A97A63">
        <w:rPr>
          <w:rFonts w:eastAsia="Times New Roman" w:cstheme="minorHAnsi"/>
          <w:color w:val="0070C0"/>
          <w:sz w:val="30"/>
          <w:szCs w:val="30"/>
          <w:u w:val="single"/>
          <w:lang w:eastAsia="fr-FR"/>
        </w:rPr>
        <w:t xml:space="preserve">Flash d’information N° </w:t>
      </w:r>
      <w:r w:rsidR="00B67E81">
        <w:rPr>
          <w:rFonts w:eastAsia="Times New Roman" w:cstheme="minorHAnsi"/>
          <w:color w:val="0070C0"/>
          <w:sz w:val="30"/>
          <w:szCs w:val="30"/>
          <w:u w:val="single"/>
          <w:lang w:eastAsia="fr-FR"/>
        </w:rPr>
        <w:t>2</w:t>
      </w:r>
      <w:r w:rsidR="00E41A65" w:rsidRPr="00A97A63">
        <w:rPr>
          <w:rFonts w:eastAsia="Times New Roman" w:cstheme="minorHAnsi"/>
          <w:color w:val="0070C0"/>
          <w:sz w:val="30"/>
          <w:szCs w:val="30"/>
          <w:lang w:eastAsia="fr-FR"/>
        </w:rPr>
        <w:tab/>
      </w:r>
      <w:r w:rsidR="00E41A65" w:rsidRPr="00A97A63">
        <w:rPr>
          <w:rFonts w:eastAsia="Times New Roman" w:cstheme="minorHAnsi"/>
          <w:color w:val="0070C0"/>
          <w:sz w:val="30"/>
          <w:szCs w:val="30"/>
          <w:lang w:eastAsia="fr-FR"/>
        </w:rPr>
        <w:tab/>
      </w:r>
      <w:r w:rsidR="00E41A65" w:rsidRPr="00A97A63">
        <w:rPr>
          <w:rFonts w:eastAsia="Times New Roman" w:cstheme="minorHAnsi"/>
          <w:color w:val="0070C0"/>
          <w:sz w:val="30"/>
          <w:szCs w:val="30"/>
          <w:lang w:eastAsia="fr-FR"/>
        </w:rPr>
        <w:tab/>
      </w:r>
      <w:r w:rsidR="00E41A65" w:rsidRPr="00A97A63">
        <w:rPr>
          <w:rFonts w:eastAsia="Times New Roman" w:cstheme="minorHAnsi"/>
          <w:color w:val="0070C0"/>
          <w:sz w:val="30"/>
          <w:szCs w:val="30"/>
          <w:lang w:eastAsia="fr-FR"/>
        </w:rPr>
        <w:tab/>
      </w:r>
      <w:r w:rsidR="00E41A65" w:rsidRPr="00A97A63">
        <w:rPr>
          <w:rFonts w:eastAsia="Times New Roman" w:cstheme="minorHAnsi"/>
          <w:color w:val="0070C0"/>
          <w:sz w:val="30"/>
          <w:szCs w:val="30"/>
          <w:lang w:eastAsia="fr-FR"/>
        </w:rPr>
        <w:tab/>
      </w:r>
      <w:r w:rsidR="00A87103">
        <w:rPr>
          <w:rFonts w:eastAsia="Times New Roman" w:cstheme="minorHAnsi"/>
          <w:color w:val="0070C0"/>
          <w:sz w:val="30"/>
          <w:szCs w:val="30"/>
          <w:lang w:eastAsia="fr-FR"/>
        </w:rPr>
        <w:t xml:space="preserve">        </w:t>
      </w:r>
      <w:r w:rsidR="00A87103">
        <w:rPr>
          <w:rFonts w:eastAsia="Times New Roman" w:cstheme="minorHAnsi"/>
          <w:color w:val="0070C0"/>
          <w:sz w:val="30"/>
          <w:szCs w:val="30"/>
          <w:lang w:eastAsia="fr-FR"/>
        </w:rPr>
        <w:tab/>
      </w:r>
      <w:r w:rsidR="008F2A7C">
        <w:rPr>
          <w:rFonts w:eastAsia="Times New Roman" w:cstheme="minorHAnsi"/>
          <w:color w:val="0070C0"/>
          <w:sz w:val="30"/>
          <w:szCs w:val="30"/>
          <w:u w:val="single"/>
          <w:lang w:eastAsia="fr-FR"/>
        </w:rPr>
        <w:t>Fév</w:t>
      </w:r>
      <w:r w:rsidR="00B67E81">
        <w:rPr>
          <w:rFonts w:eastAsia="Times New Roman" w:cstheme="minorHAnsi"/>
          <w:color w:val="0070C0"/>
          <w:sz w:val="30"/>
          <w:szCs w:val="30"/>
          <w:u w:val="single"/>
          <w:lang w:eastAsia="fr-FR"/>
        </w:rPr>
        <w:t>rier</w:t>
      </w:r>
      <w:r w:rsidR="00482D30">
        <w:rPr>
          <w:rFonts w:eastAsia="Times New Roman" w:cstheme="minorHAnsi"/>
          <w:color w:val="0070C0"/>
          <w:sz w:val="30"/>
          <w:szCs w:val="30"/>
          <w:u w:val="single"/>
          <w:lang w:eastAsia="fr-FR"/>
        </w:rPr>
        <w:t xml:space="preserve"> </w:t>
      </w:r>
      <w:r w:rsidR="00E41A65" w:rsidRPr="00A97A63">
        <w:rPr>
          <w:rFonts w:eastAsia="Times New Roman" w:cstheme="minorHAnsi"/>
          <w:color w:val="0070C0"/>
          <w:sz w:val="30"/>
          <w:szCs w:val="30"/>
          <w:u w:val="single"/>
          <w:lang w:eastAsia="fr-FR"/>
        </w:rPr>
        <w:t>201</w:t>
      </w:r>
      <w:r w:rsidR="00877F9A">
        <w:rPr>
          <w:rFonts w:eastAsia="Times New Roman" w:cstheme="minorHAnsi"/>
          <w:color w:val="0070C0"/>
          <w:sz w:val="30"/>
          <w:szCs w:val="30"/>
          <w:u w:val="single"/>
          <w:lang w:eastAsia="fr-FR"/>
        </w:rPr>
        <w:t>8</w:t>
      </w:r>
    </w:p>
    <w:p w:rsidR="00482D30" w:rsidRPr="00DD6081" w:rsidRDefault="00482D30" w:rsidP="00482D30">
      <w:pPr>
        <w:rPr>
          <w:rFonts w:ascii="Tahoma" w:hAnsi="Tahoma" w:cs="Tahoma"/>
          <w:b/>
          <w:bCs/>
          <w:sz w:val="20"/>
          <w:szCs w:val="20"/>
        </w:rPr>
      </w:pPr>
      <w:r w:rsidRPr="00DD6081">
        <w:rPr>
          <w:rFonts w:ascii="Tahoma" w:hAnsi="Tahoma" w:cs="Tahoma"/>
          <w:b/>
          <w:bCs/>
          <w:sz w:val="20"/>
          <w:szCs w:val="20"/>
        </w:rPr>
        <w:t xml:space="preserve">  </w:t>
      </w:r>
    </w:p>
    <w:p w:rsidR="00B67E81" w:rsidRPr="005A4830" w:rsidRDefault="00482D30" w:rsidP="00B67E81">
      <w:pPr>
        <w:shd w:val="clear" w:color="auto" w:fill="FFFFFF"/>
        <w:spacing w:after="0"/>
        <w:rPr>
          <w:rFonts w:cstheme="minorHAnsi"/>
          <w:b/>
          <w:bCs/>
          <w:sz w:val="20"/>
          <w:szCs w:val="20"/>
        </w:rPr>
      </w:pPr>
      <w:r w:rsidRPr="005A4830">
        <w:rPr>
          <w:rFonts w:cstheme="minorHAnsi"/>
          <w:b/>
          <w:bCs/>
          <w:sz w:val="20"/>
          <w:szCs w:val="20"/>
        </w:rPr>
        <w:t xml:space="preserve">    </w:t>
      </w:r>
      <w:r w:rsidR="00B67E81" w:rsidRPr="005A4830">
        <w:rPr>
          <w:rFonts w:cstheme="minorHAnsi"/>
          <w:b/>
          <w:bCs/>
          <w:sz w:val="20"/>
          <w:szCs w:val="20"/>
        </w:rPr>
        <w:t>Cher (e) s client (e) s,</w:t>
      </w:r>
    </w:p>
    <w:p w:rsidR="00B67E81" w:rsidRPr="005A4830" w:rsidRDefault="00B67E81" w:rsidP="00B67E81">
      <w:pPr>
        <w:shd w:val="clear" w:color="auto" w:fill="FFFFFF"/>
        <w:spacing w:after="0"/>
        <w:rPr>
          <w:rFonts w:cstheme="minorHAnsi"/>
          <w:color w:val="1F497D"/>
        </w:rPr>
      </w:pPr>
    </w:p>
    <w:p w:rsidR="00B67E81" w:rsidRPr="00B67E81" w:rsidRDefault="00B67E81" w:rsidP="00B67E81">
      <w:pPr>
        <w:spacing w:after="0"/>
        <w:rPr>
          <w:rFonts w:cstheme="minorHAnsi"/>
          <w:b/>
          <w:bCs/>
          <w:color w:val="000000"/>
          <w:sz w:val="20"/>
          <w:szCs w:val="20"/>
          <w:shd w:val="clear" w:color="auto" w:fill="FFFFFF"/>
        </w:rPr>
      </w:pPr>
      <w:r w:rsidRPr="00B67E81">
        <w:rPr>
          <w:rFonts w:cstheme="minorHAnsi"/>
          <w:color w:val="000000"/>
          <w:sz w:val="20"/>
          <w:szCs w:val="20"/>
          <w:shd w:val="clear" w:color="auto" w:fill="FFFFFF"/>
        </w:rPr>
        <w:t xml:space="preserve">Nous avons intégré dans le module « NC de l’Administration fiscale » la note de service du 5 février 2018 relative à la démarche de la mise en œuvre de la Convention-Cadre de Mobilisation des Créances de Crédits de TVA par voie d’affacturage. En effet, </w:t>
      </w:r>
      <w:r w:rsidRPr="00B67E81">
        <w:rPr>
          <w:rFonts w:cstheme="minorHAnsi"/>
          <w:color w:val="000000"/>
          <w:sz w:val="20"/>
          <w:szCs w:val="20"/>
        </w:rPr>
        <w:t>la convention-cadre de mobilisation des créances de TVA a été conclue en date du 24 janvier 2018 entre le Ministère de l’Economie et des Finances en présence de la Direction Générale des Impôts en vue de permettre aux Banques de financer par voie d’affacturage les crédits de TVA demandés par les entreprises éligibles au droit de remboursement</w:t>
      </w:r>
    </w:p>
    <w:p w:rsidR="00B67E81" w:rsidRPr="00B67E81" w:rsidRDefault="00B67E81" w:rsidP="00B67E81">
      <w:pPr>
        <w:spacing w:after="0"/>
        <w:rPr>
          <w:rFonts w:cstheme="minorHAnsi"/>
          <w:b/>
          <w:bCs/>
          <w:color w:val="000000"/>
          <w:sz w:val="20"/>
          <w:szCs w:val="20"/>
          <w:shd w:val="clear" w:color="auto" w:fill="FFFFFF"/>
        </w:rPr>
      </w:pPr>
    </w:p>
    <w:p w:rsidR="00B67E81" w:rsidRPr="00B67E81" w:rsidRDefault="00B67E81" w:rsidP="00B67E81">
      <w:pPr>
        <w:shd w:val="clear" w:color="auto" w:fill="FFFFFF"/>
        <w:spacing w:after="0"/>
        <w:rPr>
          <w:rFonts w:cstheme="minorHAnsi"/>
          <w:color w:val="000000"/>
          <w:sz w:val="18"/>
          <w:szCs w:val="18"/>
        </w:rPr>
      </w:pPr>
      <w:r w:rsidRPr="00B67E81">
        <w:rPr>
          <w:rFonts w:cstheme="minorHAnsi"/>
          <w:b/>
          <w:bCs/>
          <w:color w:val="000000"/>
          <w:sz w:val="20"/>
          <w:szCs w:val="20"/>
        </w:rPr>
        <w:t>L’Entreprise titulaire de créances de TVA</w:t>
      </w:r>
      <w:r w:rsidRPr="00B67E81">
        <w:rPr>
          <w:rFonts w:cstheme="minorHAnsi"/>
          <w:color w:val="000000"/>
          <w:sz w:val="20"/>
          <w:szCs w:val="20"/>
        </w:rPr>
        <w:t xml:space="preserve"> doit s’approcher de sa banque signataire de la Convention-Cadre, qui «établit » </w:t>
      </w:r>
      <w:r w:rsidRPr="00B67E81">
        <w:rPr>
          <w:rFonts w:cstheme="minorHAnsi"/>
          <w:b/>
          <w:bCs/>
          <w:color w:val="000000"/>
          <w:sz w:val="20"/>
          <w:szCs w:val="20"/>
        </w:rPr>
        <w:t>une lettre d’intérêt</w:t>
      </w:r>
      <w:r w:rsidRPr="00B67E81">
        <w:rPr>
          <w:rFonts w:cstheme="minorHAnsi"/>
          <w:color w:val="000000"/>
          <w:sz w:val="20"/>
          <w:szCs w:val="20"/>
        </w:rPr>
        <w:t xml:space="preserve"> cosignée par la banque et l’entreprise qui doit être notifiée par la banque à la Direction Régionale des Impôts dont dépend l’entreprise intéressée.</w:t>
      </w:r>
    </w:p>
    <w:p w:rsidR="00B67E81" w:rsidRPr="00B67E81" w:rsidRDefault="00B67E81" w:rsidP="00B67E81">
      <w:pPr>
        <w:spacing w:after="0"/>
        <w:rPr>
          <w:rFonts w:cstheme="minorHAnsi"/>
          <w:b/>
          <w:bCs/>
          <w:color w:val="000000"/>
          <w:sz w:val="20"/>
          <w:szCs w:val="20"/>
          <w:shd w:val="clear" w:color="auto" w:fill="FFFFFF"/>
        </w:rPr>
      </w:pPr>
    </w:p>
    <w:p w:rsidR="00B67E81" w:rsidRPr="00B67E81" w:rsidRDefault="00B67E81" w:rsidP="00B67E81">
      <w:pPr>
        <w:shd w:val="clear" w:color="auto" w:fill="FFFFFF"/>
        <w:spacing w:after="0"/>
        <w:rPr>
          <w:rFonts w:cstheme="minorHAnsi"/>
          <w:color w:val="000000"/>
          <w:sz w:val="18"/>
          <w:szCs w:val="18"/>
        </w:rPr>
      </w:pPr>
      <w:r w:rsidRPr="00B67E81">
        <w:rPr>
          <w:rFonts w:cstheme="minorHAnsi"/>
          <w:color w:val="000000"/>
          <w:sz w:val="20"/>
          <w:szCs w:val="20"/>
        </w:rPr>
        <w:t xml:space="preserve">Dès réception de la </w:t>
      </w:r>
      <w:r w:rsidRPr="00B67E81">
        <w:rPr>
          <w:rFonts w:cstheme="minorHAnsi"/>
          <w:b/>
          <w:bCs/>
          <w:color w:val="000000"/>
          <w:sz w:val="20"/>
          <w:szCs w:val="20"/>
        </w:rPr>
        <w:t>lettre d’intérêt</w:t>
      </w:r>
      <w:r w:rsidRPr="00B67E81">
        <w:rPr>
          <w:rFonts w:cstheme="minorHAnsi"/>
          <w:color w:val="000000"/>
          <w:sz w:val="20"/>
          <w:szCs w:val="20"/>
        </w:rPr>
        <w:t xml:space="preserve">, la Direction Régionale des Impôts compétente établit une </w:t>
      </w:r>
      <w:r w:rsidRPr="00B67E81">
        <w:rPr>
          <w:rFonts w:cstheme="minorHAnsi"/>
          <w:b/>
          <w:bCs/>
          <w:color w:val="000000"/>
          <w:sz w:val="20"/>
          <w:szCs w:val="20"/>
        </w:rPr>
        <w:t>attestation</w:t>
      </w:r>
      <w:r w:rsidRPr="00B67E81">
        <w:rPr>
          <w:rFonts w:cstheme="minorHAnsi"/>
          <w:color w:val="000000"/>
          <w:sz w:val="20"/>
          <w:szCs w:val="20"/>
        </w:rPr>
        <w:t xml:space="preserve"> qui doit comporter :</w:t>
      </w:r>
    </w:p>
    <w:p w:rsidR="00B67E81" w:rsidRPr="00B67E81" w:rsidRDefault="00B67E81" w:rsidP="00B67E81">
      <w:pPr>
        <w:shd w:val="clear" w:color="auto" w:fill="FFFFFF"/>
        <w:spacing w:after="0"/>
        <w:rPr>
          <w:rFonts w:cstheme="minorHAnsi"/>
          <w:color w:val="000000"/>
          <w:sz w:val="18"/>
          <w:szCs w:val="18"/>
        </w:rPr>
      </w:pPr>
      <w:r w:rsidRPr="00B67E81">
        <w:rPr>
          <w:rFonts w:cstheme="minorHAnsi"/>
          <w:color w:val="000000"/>
          <w:sz w:val="20"/>
          <w:szCs w:val="20"/>
        </w:rPr>
        <w:t> </w:t>
      </w:r>
    </w:p>
    <w:p w:rsidR="00B67E81" w:rsidRPr="00B67E81" w:rsidRDefault="00B67E81" w:rsidP="00B67E81">
      <w:pPr>
        <w:shd w:val="clear" w:color="auto" w:fill="FFFFFF"/>
        <w:spacing w:after="0"/>
        <w:ind w:left="540"/>
        <w:rPr>
          <w:rFonts w:cstheme="minorHAnsi"/>
          <w:color w:val="000000"/>
          <w:sz w:val="18"/>
          <w:szCs w:val="18"/>
        </w:rPr>
      </w:pPr>
      <w:r w:rsidRPr="00B67E81">
        <w:rPr>
          <w:rFonts w:cstheme="minorHAnsi"/>
          <w:color w:val="000000"/>
          <w:sz w:val="20"/>
          <w:szCs w:val="20"/>
        </w:rPr>
        <w:t>- la raison sociale de l’entreprise titulaire de la créance ;</w:t>
      </w:r>
    </w:p>
    <w:p w:rsidR="00B67E81" w:rsidRPr="00B67E81" w:rsidRDefault="00B67E81" w:rsidP="00B67E81">
      <w:pPr>
        <w:shd w:val="clear" w:color="auto" w:fill="FFFFFF"/>
        <w:spacing w:after="0"/>
        <w:ind w:left="540"/>
        <w:rPr>
          <w:rFonts w:cstheme="minorHAnsi"/>
          <w:color w:val="000000"/>
          <w:sz w:val="18"/>
          <w:szCs w:val="18"/>
        </w:rPr>
      </w:pPr>
      <w:r w:rsidRPr="00B67E81">
        <w:rPr>
          <w:rFonts w:cstheme="minorHAnsi"/>
          <w:color w:val="000000"/>
          <w:sz w:val="20"/>
          <w:szCs w:val="20"/>
        </w:rPr>
        <w:t>- l’ICE ;</w:t>
      </w:r>
    </w:p>
    <w:p w:rsidR="00B67E81" w:rsidRPr="00B67E81" w:rsidRDefault="00B67E81" w:rsidP="00B67E81">
      <w:pPr>
        <w:shd w:val="clear" w:color="auto" w:fill="FFFFFF"/>
        <w:spacing w:after="0"/>
        <w:ind w:left="540"/>
        <w:rPr>
          <w:rFonts w:cstheme="minorHAnsi"/>
          <w:color w:val="000000"/>
          <w:sz w:val="18"/>
          <w:szCs w:val="18"/>
        </w:rPr>
      </w:pPr>
      <w:r w:rsidRPr="00B67E81">
        <w:rPr>
          <w:rFonts w:cstheme="minorHAnsi"/>
          <w:color w:val="000000"/>
          <w:sz w:val="20"/>
          <w:szCs w:val="20"/>
        </w:rPr>
        <w:t>- le montant exact de la créance de TVA ;</w:t>
      </w:r>
    </w:p>
    <w:p w:rsidR="00B67E81" w:rsidRPr="00B67E81" w:rsidRDefault="00B67E81" w:rsidP="00B67E81">
      <w:pPr>
        <w:shd w:val="clear" w:color="auto" w:fill="FFFFFF"/>
        <w:spacing w:after="0"/>
        <w:ind w:left="540"/>
        <w:rPr>
          <w:rFonts w:cstheme="minorHAnsi"/>
          <w:color w:val="000000"/>
          <w:sz w:val="18"/>
          <w:szCs w:val="18"/>
        </w:rPr>
      </w:pPr>
      <w:r w:rsidRPr="00B67E81">
        <w:rPr>
          <w:rFonts w:cstheme="minorHAnsi"/>
          <w:color w:val="000000"/>
          <w:sz w:val="20"/>
          <w:szCs w:val="20"/>
        </w:rPr>
        <w:t>- la ou les période(s) concernée(s) par la créance de TVA ;</w:t>
      </w:r>
    </w:p>
    <w:p w:rsidR="00B67E81" w:rsidRPr="00B67E81" w:rsidRDefault="00B67E81" w:rsidP="00B67E81">
      <w:pPr>
        <w:shd w:val="clear" w:color="auto" w:fill="FFFFFF"/>
        <w:spacing w:after="0"/>
        <w:ind w:left="540"/>
        <w:rPr>
          <w:rFonts w:cstheme="minorHAnsi"/>
          <w:color w:val="000000"/>
          <w:sz w:val="18"/>
          <w:szCs w:val="18"/>
        </w:rPr>
      </w:pPr>
      <w:r w:rsidRPr="00B67E81">
        <w:rPr>
          <w:rFonts w:cstheme="minorHAnsi"/>
          <w:color w:val="000000"/>
          <w:sz w:val="20"/>
          <w:szCs w:val="20"/>
        </w:rPr>
        <w:t>- l’accord du MEF pour le financement par voie d’affacturage de la créance de TVA ;</w:t>
      </w:r>
    </w:p>
    <w:p w:rsidR="00B67E81" w:rsidRPr="00B67E81" w:rsidRDefault="00B67E81" w:rsidP="00B67E81">
      <w:pPr>
        <w:shd w:val="clear" w:color="auto" w:fill="FFFFFF"/>
        <w:spacing w:after="0"/>
        <w:ind w:left="540"/>
        <w:rPr>
          <w:rFonts w:cstheme="minorHAnsi"/>
          <w:color w:val="000000"/>
          <w:sz w:val="18"/>
          <w:szCs w:val="18"/>
        </w:rPr>
      </w:pPr>
      <w:r w:rsidRPr="00B67E81">
        <w:rPr>
          <w:rFonts w:cstheme="minorHAnsi"/>
          <w:color w:val="000000"/>
          <w:sz w:val="20"/>
          <w:szCs w:val="20"/>
        </w:rPr>
        <w:t>- l’échéancier de remboursement de la créance de TVA par le MEF entre les mains de la banque;</w:t>
      </w:r>
    </w:p>
    <w:p w:rsidR="00B67E81" w:rsidRPr="00B67E81" w:rsidRDefault="00B67E81" w:rsidP="00B67E81">
      <w:pPr>
        <w:shd w:val="clear" w:color="auto" w:fill="FFFFFF"/>
        <w:spacing w:after="0"/>
        <w:rPr>
          <w:rFonts w:cstheme="minorHAnsi"/>
          <w:color w:val="000000"/>
          <w:sz w:val="18"/>
          <w:szCs w:val="18"/>
        </w:rPr>
      </w:pPr>
    </w:p>
    <w:p w:rsidR="00B67E81" w:rsidRPr="00B67E81" w:rsidRDefault="00B67E81" w:rsidP="00B67E81">
      <w:pPr>
        <w:shd w:val="clear" w:color="auto" w:fill="FFFFFF"/>
        <w:spacing w:after="0"/>
        <w:rPr>
          <w:rFonts w:cstheme="minorHAnsi"/>
          <w:color w:val="000000"/>
          <w:sz w:val="18"/>
          <w:szCs w:val="18"/>
        </w:rPr>
      </w:pPr>
      <w:r w:rsidRPr="00B67E81">
        <w:rPr>
          <w:rFonts w:cstheme="minorHAnsi"/>
          <w:color w:val="000000"/>
          <w:sz w:val="20"/>
          <w:szCs w:val="20"/>
        </w:rPr>
        <w:t xml:space="preserve">Aussitôt l’attestation reçue, un </w:t>
      </w:r>
      <w:r w:rsidRPr="00B67E81">
        <w:rPr>
          <w:rFonts w:cstheme="minorHAnsi"/>
          <w:b/>
          <w:bCs/>
          <w:color w:val="000000"/>
          <w:sz w:val="20"/>
          <w:szCs w:val="20"/>
        </w:rPr>
        <w:t>contrat d’affacturageest signé conjointement par l’entreprise et la banque</w:t>
      </w:r>
      <w:r w:rsidRPr="00B67E81">
        <w:rPr>
          <w:rFonts w:cstheme="minorHAnsi"/>
          <w:color w:val="000000"/>
          <w:sz w:val="20"/>
          <w:szCs w:val="20"/>
        </w:rPr>
        <w:t xml:space="preserve">, suite à quoi, </w:t>
      </w:r>
      <w:r w:rsidRPr="00B67E81">
        <w:rPr>
          <w:rFonts w:cstheme="minorHAnsi"/>
          <w:color w:val="000000"/>
          <w:sz w:val="20"/>
          <w:szCs w:val="20"/>
          <w:u w:val="single"/>
        </w:rPr>
        <w:t>l’entreprise procèdera à la notification à la Direction Régionale des Impôts compétente</w:t>
      </w:r>
      <w:r w:rsidRPr="00B67E81">
        <w:rPr>
          <w:rFonts w:cstheme="minorHAnsi"/>
          <w:color w:val="000000"/>
          <w:sz w:val="20"/>
          <w:szCs w:val="20"/>
        </w:rPr>
        <w:t xml:space="preserve"> de la </w:t>
      </w:r>
      <w:r w:rsidRPr="00B67E81">
        <w:rPr>
          <w:rFonts w:cstheme="minorHAnsi"/>
          <w:b/>
          <w:bCs/>
          <w:color w:val="000000"/>
          <w:sz w:val="20"/>
          <w:szCs w:val="20"/>
        </w:rPr>
        <w:t>subrogation de la banque au titre du contrat d’affacturage</w:t>
      </w:r>
      <w:r w:rsidRPr="00B67E81">
        <w:rPr>
          <w:rFonts w:cstheme="minorHAnsi"/>
          <w:color w:val="000000"/>
          <w:sz w:val="20"/>
          <w:szCs w:val="20"/>
        </w:rPr>
        <w:t xml:space="preserve">, avec indication du </w:t>
      </w:r>
      <w:r w:rsidRPr="00B67E81">
        <w:rPr>
          <w:rFonts w:cstheme="minorHAnsi"/>
          <w:b/>
          <w:bCs/>
          <w:color w:val="000000"/>
          <w:sz w:val="20"/>
          <w:szCs w:val="20"/>
        </w:rPr>
        <w:t xml:space="preserve">numéro de compte spécial </w:t>
      </w:r>
      <w:r w:rsidRPr="00B67E81">
        <w:rPr>
          <w:rFonts w:cstheme="minorHAnsi"/>
          <w:color w:val="000000"/>
          <w:sz w:val="20"/>
          <w:szCs w:val="20"/>
        </w:rPr>
        <w:t>qui sera réservé aux versements des échéances aux dates convenues entre les mains de la banque. Une copie du contrat d’affacturage est à joindre à cette notification.</w:t>
      </w:r>
    </w:p>
    <w:p w:rsidR="00B67E81" w:rsidRPr="00B67E81" w:rsidRDefault="00B67E81" w:rsidP="00B67E81">
      <w:pPr>
        <w:spacing w:after="0"/>
        <w:rPr>
          <w:rFonts w:cstheme="minorHAnsi"/>
          <w:b/>
          <w:bCs/>
          <w:color w:val="000000"/>
          <w:sz w:val="20"/>
          <w:szCs w:val="20"/>
          <w:shd w:val="clear" w:color="auto" w:fill="FFFFFF"/>
        </w:rPr>
      </w:pPr>
    </w:p>
    <w:p w:rsidR="00B67E81" w:rsidRPr="00B67E81" w:rsidRDefault="00B67E81" w:rsidP="00B67E81">
      <w:pPr>
        <w:shd w:val="clear" w:color="auto" w:fill="FFFFFF"/>
        <w:spacing w:after="0"/>
        <w:rPr>
          <w:rFonts w:cstheme="minorHAnsi"/>
          <w:color w:val="000000"/>
          <w:sz w:val="18"/>
          <w:szCs w:val="18"/>
        </w:rPr>
      </w:pPr>
      <w:r w:rsidRPr="00B67E81">
        <w:rPr>
          <w:rFonts w:cstheme="minorHAnsi"/>
          <w:color w:val="000000"/>
          <w:sz w:val="20"/>
          <w:szCs w:val="20"/>
        </w:rPr>
        <w:t xml:space="preserve">Dés réception de la </w:t>
      </w:r>
      <w:r w:rsidRPr="00B67E81">
        <w:rPr>
          <w:rFonts w:cstheme="minorHAnsi"/>
          <w:b/>
          <w:bCs/>
          <w:color w:val="000000"/>
          <w:sz w:val="20"/>
          <w:szCs w:val="20"/>
        </w:rPr>
        <w:t>notification de la subrogation</w:t>
      </w:r>
      <w:r w:rsidRPr="00B67E81">
        <w:rPr>
          <w:rFonts w:cstheme="minorHAnsi"/>
          <w:color w:val="000000"/>
          <w:sz w:val="20"/>
          <w:szCs w:val="20"/>
        </w:rPr>
        <w:t xml:space="preserve">, des </w:t>
      </w:r>
      <w:r w:rsidRPr="00B67E81">
        <w:rPr>
          <w:rFonts w:cstheme="minorHAnsi"/>
          <w:b/>
          <w:bCs/>
          <w:color w:val="000000"/>
          <w:sz w:val="20"/>
          <w:szCs w:val="20"/>
          <w:u w:val="single"/>
        </w:rPr>
        <w:t>décisions de remboursement seront établies et signées par la Direction Régionale des Impôts compétente</w:t>
      </w:r>
      <w:r w:rsidRPr="00B67E81">
        <w:rPr>
          <w:rFonts w:cstheme="minorHAnsi"/>
          <w:color w:val="000000"/>
          <w:sz w:val="20"/>
          <w:szCs w:val="20"/>
        </w:rPr>
        <w:t>. Ces décisions constituant des ordres de remboursement seront notifiées à la banque concernée.</w:t>
      </w:r>
    </w:p>
    <w:p w:rsidR="00B67E81" w:rsidRPr="00B67E81" w:rsidRDefault="00B67E81" w:rsidP="00B67E81">
      <w:pPr>
        <w:spacing w:after="0"/>
        <w:rPr>
          <w:rFonts w:cstheme="minorHAnsi"/>
          <w:b/>
          <w:bCs/>
          <w:color w:val="000000"/>
          <w:sz w:val="20"/>
          <w:szCs w:val="20"/>
          <w:shd w:val="clear" w:color="auto" w:fill="FFFFFF"/>
        </w:rPr>
      </w:pPr>
    </w:p>
    <w:p w:rsidR="00B67E81" w:rsidRPr="00B67E81" w:rsidRDefault="00B67E81" w:rsidP="00B67E81">
      <w:pPr>
        <w:shd w:val="clear" w:color="auto" w:fill="FFFFFF"/>
        <w:spacing w:after="0"/>
        <w:rPr>
          <w:rFonts w:cstheme="minorHAnsi"/>
          <w:color w:val="000000"/>
          <w:sz w:val="18"/>
          <w:szCs w:val="18"/>
        </w:rPr>
      </w:pPr>
      <w:r w:rsidRPr="00B67E81">
        <w:rPr>
          <w:rFonts w:cstheme="minorHAnsi"/>
          <w:sz w:val="20"/>
          <w:szCs w:val="20"/>
        </w:rPr>
        <w:t xml:space="preserve">La banque, à la réception des décisions de remboursement, procédera au </w:t>
      </w:r>
      <w:r w:rsidRPr="00B67E81">
        <w:rPr>
          <w:rFonts w:cstheme="minorHAnsi"/>
          <w:b/>
          <w:bCs/>
          <w:sz w:val="20"/>
          <w:szCs w:val="20"/>
        </w:rPr>
        <w:t>versement du montant de la</w:t>
      </w:r>
      <w:r w:rsidRPr="00B67E81">
        <w:rPr>
          <w:rFonts w:cstheme="minorHAnsi"/>
          <w:b/>
          <w:bCs/>
          <w:color w:val="000000"/>
          <w:sz w:val="20"/>
          <w:szCs w:val="20"/>
        </w:rPr>
        <w:t xml:space="preserve"> créance</w:t>
      </w:r>
      <w:r w:rsidRPr="00B67E81">
        <w:rPr>
          <w:rFonts w:cstheme="minorHAnsi"/>
          <w:color w:val="000000"/>
          <w:sz w:val="20"/>
          <w:szCs w:val="20"/>
        </w:rPr>
        <w:t xml:space="preserve"> au profit de l’entreprise concomitamment à la signature d’une </w:t>
      </w:r>
      <w:r w:rsidRPr="00B67E81">
        <w:rPr>
          <w:rFonts w:cstheme="minorHAnsi"/>
          <w:b/>
          <w:bCs/>
          <w:color w:val="000000"/>
          <w:sz w:val="20"/>
          <w:szCs w:val="20"/>
        </w:rPr>
        <w:t>quittance subrogative.</w:t>
      </w:r>
    </w:p>
    <w:p w:rsidR="00B67E81" w:rsidRPr="00B67E81" w:rsidRDefault="00B67E81" w:rsidP="00B67E81">
      <w:pPr>
        <w:shd w:val="clear" w:color="auto" w:fill="FFFFFF"/>
        <w:spacing w:after="0"/>
        <w:rPr>
          <w:rFonts w:cstheme="minorHAnsi"/>
          <w:color w:val="000000"/>
          <w:sz w:val="18"/>
          <w:szCs w:val="18"/>
        </w:rPr>
      </w:pPr>
      <w:r w:rsidRPr="00B67E81">
        <w:rPr>
          <w:rFonts w:cstheme="minorHAnsi"/>
          <w:color w:val="000000"/>
          <w:sz w:val="20"/>
          <w:szCs w:val="20"/>
        </w:rPr>
        <w:t> </w:t>
      </w:r>
    </w:p>
    <w:p w:rsidR="00B67E81" w:rsidRPr="00B67E81" w:rsidRDefault="00B67E81" w:rsidP="00B67E81">
      <w:pPr>
        <w:shd w:val="clear" w:color="auto" w:fill="FFFFFF"/>
        <w:spacing w:after="0"/>
        <w:rPr>
          <w:rFonts w:cstheme="minorHAnsi"/>
          <w:color w:val="000000"/>
          <w:sz w:val="18"/>
          <w:szCs w:val="18"/>
        </w:rPr>
      </w:pPr>
      <w:r w:rsidRPr="00B67E81">
        <w:rPr>
          <w:rFonts w:cstheme="minorHAnsi"/>
          <w:b/>
          <w:bCs/>
          <w:color w:val="000000"/>
          <w:sz w:val="20"/>
          <w:szCs w:val="20"/>
        </w:rPr>
        <w:lastRenderedPageBreak/>
        <w:t>La Direction Régionale des Impôts compétente</w:t>
      </w:r>
      <w:r w:rsidRPr="00B67E81">
        <w:rPr>
          <w:rFonts w:cstheme="minorHAnsi"/>
          <w:color w:val="000000"/>
          <w:sz w:val="20"/>
          <w:szCs w:val="20"/>
        </w:rPr>
        <w:t xml:space="preserve"> devra être informée par la banque du </w:t>
      </w:r>
      <w:r w:rsidRPr="00B67E81">
        <w:rPr>
          <w:rFonts w:cstheme="minorHAnsi"/>
          <w:b/>
          <w:bCs/>
          <w:color w:val="000000"/>
          <w:sz w:val="20"/>
          <w:szCs w:val="20"/>
        </w:rPr>
        <w:t xml:space="preserve">déblocage des fonds. </w:t>
      </w:r>
      <w:r w:rsidRPr="00B67E81">
        <w:rPr>
          <w:rFonts w:cstheme="minorHAnsi"/>
          <w:color w:val="000000"/>
          <w:sz w:val="20"/>
          <w:szCs w:val="20"/>
        </w:rPr>
        <w:t xml:space="preserve">Une copie de la quittance subrogative est à notifier à </w:t>
      </w:r>
      <w:r w:rsidRPr="00B67E81">
        <w:rPr>
          <w:rFonts w:cstheme="minorHAnsi"/>
          <w:b/>
          <w:bCs/>
          <w:color w:val="000000"/>
          <w:sz w:val="20"/>
          <w:szCs w:val="20"/>
        </w:rPr>
        <w:t>la Direction Régionale des Impôts compétente</w:t>
      </w:r>
      <w:r w:rsidRPr="00B67E81">
        <w:rPr>
          <w:rFonts w:cstheme="minorHAnsi"/>
          <w:color w:val="000000"/>
          <w:sz w:val="20"/>
          <w:szCs w:val="20"/>
        </w:rPr>
        <w:t xml:space="preserve"> pour lui permettre d’assurer le </w:t>
      </w:r>
      <w:r w:rsidRPr="00B67E81">
        <w:rPr>
          <w:rFonts w:cstheme="minorHAnsi"/>
          <w:color w:val="000000"/>
          <w:sz w:val="20"/>
          <w:szCs w:val="20"/>
          <w:u w:val="single"/>
        </w:rPr>
        <w:t>versement des échéances arrêtées conformément à l’échéancier fixé au niveau de la Convention Cadre</w:t>
      </w:r>
      <w:r w:rsidRPr="00B67E81">
        <w:rPr>
          <w:rFonts w:cstheme="minorHAnsi"/>
          <w:color w:val="000000"/>
          <w:sz w:val="20"/>
          <w:szCs w:val="20"/>
        </w:rPr>
        <w:t>.</w:t>
      </w:r>
    </w:p>
    <w:p w:rsidR="00B67E81" w:rsidRPr="00B67E81" w:rsidRDefault="00B67E81" w:rsidP="00B67E81">
      <w:pPr>
        <w:shd w:val="clear" w:color="auto" w:fill="FFFFFF"/>
        <w:spacing w:after="0"/>
        <w:rPr>
          <w:rFonts w:cstheme="minorHAnsi"/>
          <w:color w:val="000000"/>
          <w:sz w:val="18"/>
          <w:szCs w:val="18"/>
        </w:rPr>
      </w:pPr>
      <w:r w:rsidRPr="00B67E81">
        <w:rPr>
          <w:rFonts w:cstheme="minorHAnsi"/>
          <w:color w:val="000000"/>
          <w:sz w:val="20"/>
          <w:szCs w:val="20"/>
        </w:rPr>
        <w:t> </w:t>
      </w:r>
    </w:p>
    <w:p w:rsidR="00B67E81" w:rsidRPr="00B67E81" w:rsidRDefault="00B67E81" w:rsidP="00B67E81">
      <w:pPr>
        <w:shd w:val="clear" w:color="auto" w:fill="FFFFFF"/>
        <w:spacing w:after="0"/>
        <w:rPr>
          <w:rFonts w:cstheme="minorHAnsi"/>
          <w:color w:val="000000"/>
          <w:sz w:val="20"/>
          <w:szCs w:val="20"/>
        </w:rPr>
      </w:pPr>
      <w:r w:rsidRPr="00B67E81">
        <w:rPr>
          <w:rFonts w:cstheme="minorHAnsi"/>
          <w:color w:val="000000"/>
          <w:sz w:val="20"/>
          <w:szCs w:val="20"/>
        </w:rPr>
        <w:t xml:space="preserve">Le versement des échéances dues par le Ministère de l’Economie et des Finances à la banque se fera </w:t>
      </w:r>
      <w:r w:rsidRPr="00B67E81">
        <w:rPr>
          <w:rFonts w:cstheme="minorHAnsi"/>
          <w:b/>
          <w:bCs/>
          <w:color w:val="000000"/>
          <w:sz w:val="20"/>
          <w:szCs w:val="20"/>
        </w:rPr>
        <w:t>au 31 mars de chaque année</w:t>
      </w:r>
      <w:r w:rsidRPr="00B67E81">
        <w:rPr>
          <w:rFonts w:cstheme="minorHAnsi"/>
          <w:color w:val="000000"/>
          <w:sz w:val="20"/>
          <w:szCs w:val="20"/>
        </w:rPr>
        <w:t xml:space="preserve"> pour les déblocages intervenus au plus tard à cette date. A cet effet, la banque doit faire parvenir à l’administration fiscale </w:t>
      </w:r>
      <w:r w:rsidRPr="00B67E81">
        <w:rPr>
          <w:rFonts w:cstheme="minorHAnsi"/>
          <w:b/>
          <w:bCs/>
          <w:color w:val="000000"/>
          <w:sz w:val="20"/>
          <w:szCs w:val="20"/>
        </w:rPr>
        <w:t>les justificatifs  des déblocages à leurs dates effectives</w:t>
      </w:r>
      <w:r w:rsidRPr="00B67E81">
        <w:rPr>
          <w:rFonts w:cstheme="minorHAnsi"/>
          <w:color w:val="000000"/>
          <w:sz w:val="20"/>
          <w:szCs w:val="20"/>
        </w:rPr>
        <w:t>.</w:t>
      </w:r>
    </w:p>
    <w:p w:rsidR="00B67E81" w:rsidRPr="00B67E81" w:rsidRDefault="00B67E81" w:rsidP="00B67E81">
      <w:pPr>
        <w:shd w:val="clear" w:color="auto" w:fill="FFFFFF"/>
        <w:spacing w:after="0"/>
        <w:rPr>
          <w:rFonts w:cstheme="minorHAnsi"/>
          <w:color w:val="000000"/>
          <w:sz w:val="18"/>
          <w:szCs w:val="18"/>
        </w:rPr>
      </w:pPr>
    </w:p>
    <w:p w:rsidR="00B67E81" w:rsidRPr="00B67E81" w:rsidRDefault="00B67E81" w:rsidP="00B67E81">
      <w:pPr>
        <w:shd w:val="clear" w:color="auto" w:fill="FFFFFF"/>
        <w:spacing w:after="0"/>
        <w:rPr>
          <w:rFonts w:cstheme="minorHAnsi"/>
          <w:sz w:val="18"/>
          <w:szCs w:val="18"/>
        </w:rPr>
      </w:pPr>
      <w:r w:rsidRPr="00B67E81">
        <w:rPr>
          <w:rFonts w:cstheme="minorHAnsi"/>
          <w:sz w:val="20"/>
          <w:szCs w:val="20"/>
        </w:rPr>
        <w:t>Enfin, il est à noter que la convention et l’avenant s’appliquent aux demandes de remboursement de TVA relatives aux </w:t>
      </w:r>
      <w:r w:rsidRPr="00B67E81">
        <w:rPr>
          <w:rFonts w:cstheme="minorHAnsi"/>
          <w:b/>
          <w:bCs/>
          <w:sz w:val="20"/>
          <w:szCs w:val="20"/>
        </w:rPr>
        <w:t>périodes allant jusqu’au quatrième trimestre 2017 inclus.</w:t>
      </w:r>
    </w:p>
    <w:p w:rsidR="00B67E81" w:rsidRPr="00B67E81" w:rsidRDefault="00B67E81" w:rsidP="00B67E81">
      <w:pPr>
        <w:shd w:val="clear" w:color="auto" w:fill="FFFFFF"/>
        <w:spacing w:after="0"/>
        <w:rPr>
          <w:rFonts w:cstheme="minorHAnsi"/>
          <w:color w:val="000000"/>
          <w:sz w:val="18"/>
          <w:szCs w:val="18"/>
        </w:rPr>
      </w:pPr>
    </w:p>
    <w:p w:rsidR="00B67E81" w:rsidRPr="00B67E81" w:rsidRDefault="00B67E81" w:rsidP="00B67E81">
      <w:pPr>
        <w:spacing w:after="0"/>
        <w:rPr>
          <w:rFonts w:cstheme="minorHAnsi"/>
          <w:color w:val="222222"/>
          <w:shd w:val="clear" w:color="auto" w:fill="FFFFFF"/>
        </w:rPr>
      </w:pPr>
    </w:p>
    <w:p w:rsidR="00B67E81" w:rsidRPr="00B67E81" w:rsidRDefault="00B67E81" w:rsidP="00B67E81">
      <w:pPr>
        <w:spacing w:after="0"/>
        <w:rPr>
          <w:rFonts w:cstheme="minorHAnsi"/>
          <w:b/>
          <w:bCs/>
          <w:sz w:val="20"/>
          <w:szCs w:val="20"/>
        </w:rPr>
      </w:pPr>
      <w:r w:rsidRPr="00B67E81">
        <w:rPr>
          <w:rFonts w:cstheme="minorHAnsi"/>
          <w:b/>
          <w:bCs/>
          <w:sz w:val="20"/>
          <w:szCs w:val="20"/>
        </w:rPr>
        <w:t>Fidèlement vôtre</w:t>
      </w:r>
      <w:r w:rsidRPr="00B67E81">
        <w:rPr>
          <w:rFonts w:cstheme="minorHAnsi"/>
          <w:b/>
          <w:bCs/>
          <w:sz w:val="20"/>
          <w:szCs w:val="20"/>
        </w:rPr>
        <w:br/>
        <w:t>L'équipe éditoriale du Simulator Online.</w:t>
      </w:r>
    </w:p>
    <w:p w:rsidR="00482D30" w:rsidRPr="00B67E81" w:rsidRDefault="00B67E81" w:rsidP="00B67E81">
      <w:pPr>
        <w:spacing w:after="0"/>
        <w:rPr>
          <w:rFonts w:cstheme="minorHAnsi"/>
          <w:sz w:val="24"/>
          <w:szCs w:val="24"/>
        </w:rPr>
      </w:pPr>
      <w:r w:rsidRPr="00B67E81">
        <w:rPr>
          <w:rFonts w:cstheme="minorHAnsi"/>
          <w:sz w:val="24"/>
          <w:szCs w:val="24"/>
        </w:rPr>
        <w:t>Récupéré</w:t>
      </w:r>
      <w:r w:rsidR="00482D30" w:rsidRPr="00B67E81">
        <w:rPr>
          <w:rFonts w:cstheme="minorHAnsi"/>
          <w:sz w:val="24"/>
          <w:szCs w:val="24"/>
        </w:rPr>
        <w:t xml:space="preserve"> à régulariser leur situation dans le plus bref des délais.</w:t>
      </w:r>
    </w:p>
    <w:p w:rsidR="00482D30" w:rsidRPr="00B54757" w:rsidRDefault="00482D30" w:rsidP="00B67E81">
      <w:pPr>
        <w:spacing w:after="0" w:line="360" w:lineRule="auto"/>
        <w:jc w:val="both"/>
        <w:rPr>
          <w:rFonts w:asciiTheme="majorBidi" w:hAnsiTheme="majorBidi" w:cstheme="majorBidi"/>
          <w:sz w:val="24"/>
          <w:szCs w:val="24"/>
        </w:rPr>
      </w:pPr>
    </w:p>
    <w:p w:rsidR="00482D30" w:rsidRPr="00B54757" w:rsidRDefault="00482D30" w:rsidP="00482D30">
      <w:pPr>
        <w:spacing w:line="360" w:lineRule="auto"/>
        <w:jc w:val="both"/>
        <w:rPr>
          <w:rFonts w:asciiTheme="majorBidi" w:hAnsiTheme="majorBidi" w:cstheme="majorBidi"/>
          <w:sz w:val="24"/>
          <w:szCs w:val="24"/>
        </w:rPr>
      </w:pPr>
    </w:p>
    <w:p w:rsidR="00482D30" w:rsidRPr="00A97A63" w:rsidRDefault="00482D30" w:rsidP="00482D30">
      <w:pPr>
        <w:shd w:val="clear" w:color="auto" w:fill="FFFFFF"/>
        <w:spacing w:after="225" w:line="390" w:lineRule="atLeast"/>
        <w:outlineLvl w:val="1"/>
        <w:rPr>
          <w:rFonts w:eastAsia="Times New Roman" w:cstheme="minorHAnsi"/>
          <w:color w:val="0070C0"/>
          <w:sz w:val="30"/>
          <w:szCs w:val="30"/>
          <w:u w:val="single"/>
          <w:lang w:eastAsia="fr-FR"/>
        </w:rPr>
      </w:pPr>
    </w:p>
    <w:sectPr w:rsidR="00482D30" w:rsidRPr="00A97A63" w:rsidSect="003A1573">
      <w:headerReference w:type="even" r:id="rId6"/>
      <w:headerReference w:type="default" r:id="rId7"/>
      <w:footerReference w:type="even" r:id="rId8"/>
      <w:footerReference w:type="default" r:id="rId9"/>
      <w:headerReference w:type="first" r:id="rId10"/>
      <w:footerReference w:type="first" r:id="rId11"/>
      <w:pgSz w:w="11906" w:h="16838"/>
      <w:pgMar w:top="2269" w:right="1417" w:bottom="2552" w:left="1417" w:header="284" w:footer="508" w:gutter="0"/>
      <w:pgBorders w:offsetFrom="page">
        <w:top w:val="dashDotStroked" w:sz="24" w:space="24" w:color="548DD4" w:themeColor="text2" w:themeTint="99"/>
        <w:left w:val="dashDotStroked" w:sz="24" w:space="24" w:color="548DD4" w:themeColor="text2" w:themeTint="99"/>
        <w:bottom w:val="dashDotStroked" w:sz="24" w:space="24" w:color="548DD4" w:themeColor="text2" w:themeTint="99"/>
        <w:right w:val="dashDotStroked" w:sz="24" w:space="24" w:color="548DD4" w:themeColor="text2"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3DF" w:rsidRDefault="00AD33DF" w:rsidP="00E41A65">
      <w:pPr>
        <w:spacing w:after="0" w:line="240" w:lineRule="auto"/>
      </w:pPr>
      <w:r>
        <w:separator/>
      </w:r>
    </w:p>
  </w:endnote>
  <w:endnote w:type="continuationSeparator" w:id="1">
    <w:p w:rsidR="00AD33DF" w:rsidRDefault="00AD33DF" w:rsidP="00E41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97A" w:rsidRDefault="0078297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103" w:rsidRPr="00221C3C" w:rsidRDefault="00FA7519" w:rsidP="00A87103">
    <w:pPr>
      <w:spacing w:after="0"/>
      <w:jc w:val="center"/>
      <w:rPr>
        <w:rFonts w:eastAsia="Times New Roman" w:cstheme="minorHAnsi"/>
        <w:b/>
        <w:bCs/>
        <w:sz w:val="18"/>
        <w:szCs w:val="18"/>
        <w:lang w:eastAsia="fr-FR"/>
      </w:rPr>
    </w:pPr>
    <w:r>
      <w:rPr>
        <w:rFonts w:eastAsia="Times New Roman" w:cstheme="minorHAnsi"/>
        <w:b/>
        <w:bCs/>
        <w:noProof/>
        <w:sz w:val="18"/>
        <w:szCs w:val="18"/>
        <w:lang w:eastAsia="fr-FR"/>
      </w:rPr>
      <w:pict>
        <v:shapetype id="_x0000_t32" coordsize="21600,21600" o:spt="32" o:oned="t" path="m,l21600,21600e" filled="f">
          <v:path arrowok="t" fillok="f" o:connecttype="none"/>
          <o:lock v:ext="edit" shapetype="t"/>
        </v:shapetype>
        <v:shape id="_x0000_s6145" type="#_x0000_t32" style="position:absolute;left:0;text-align:left;margin-left:142.45pt;margin-top:-6.1pt;width:175.95pt;height:0;flip:y;z-index:251660288" o:connectortype="straight" strokeweight=".5pt"/>
      </w:pict>
    </w:r>
    <w:r w:rsidR="00A87103" w:rsidRPr="00221C3C">
      <w:rPr>
        <w:rFonts w:eastAsia="Times New Roman" w:cstheme="minorHAnsi"/>
        <w:b/>
        <w:bCs/>
        <w:sz w:val="18"/>
        <w:szCs w:val="18"/>
        <w:lang w:eastAsia="fr-FR"/>
      </w:rPr>
      <w:t>ANGLE RUE OMAR RIFFI ET EMILE GROS RES.TITRIT II IMM B3 ETG N°1 20120 CASABLANCA</w:t>
    </w:r>
  </w:p>
  <w:p w:rsidR="00C457DB" w:rsidRPr="00221C3C" w:rsidRDefault="00A87103" w:rsidP="00A87103">
    <w:pPr>
      <w:spacing w:after="0"/>
      <w:jc w:val="center"/>
      <w:rPr>
        <w:rFonts w:eastAsia="Times New Roman" w:cstheme="minorHAnsi"/>
        <w:b/>
        <w:bCs/>
        <w:sz w:val="18"/>
        <w:szCs w:val="18"/>
        <w:lang w:val="en-US" w:eastAsia="fr-FR"/>
      </w:rPr>
    </w:pPr>
    <w:r w:rsidRPr="00221C3C">
      <w:rPr>
        <w:rFonts w:eastAsia="Times New Roman" w:cstheme="minorHAnsi"/>
        <w:b/>
        <w:bCs/>
        <w:sz w:val="18"/>
        <w:szCs w:val="18"/>
        <w:lang w:val="en-US" w:eastAsia="fr-FR"/>
      </w:rPr>
      <w:t>RC: 138481   |   TP: 34253627</w:t>
    </w:r>
    <w:r w:rsidR="003A1573">
      <w:rPr>
        <w:rFonts w:eastAsia="Times New Roman" w:cstheme="minorHAnsi"/>
        <w:b/>
        <w:bCs/>
        <w:sz w:val="18"/>
        <w:szCs w:val="18"/>
        <w:lang w:val="en-US" w:eastAsia="fr-FR"/>
      </w:rPr>
      <w:t xml:space="preserve"> </w:t>
    </w:r>
    <w:r w:rsidRPr="00221C3C">
      <w:rPr>
        <w:rFonts w:eastAsia="Times New Roman" w:cstheme="minorHAnsi"/>
        <w:b/>
        <w:bCs/>
        <w:sz w:val="18"/>
        <w:szCs w:val="18"/>
        <w:lang w:val="en-US" w:eastAsia="fr-FR"/>
      </w:rPr>
      <w:t xml:space="preserve">  |    CNSS: 6941216   |    IF: 1102175</w:t>
    </w:r>
    <w:r w:rsidR="003A1573">
      <w:rPr>
        <w:rFonts w:eastAsia="Times New Roman" w:cstheme="minorHAnsi"/>
        <w:b/>
        <w:bCs/>
        <w:sz w:val="18"/>
        <w:szCs w:val="18"/>
        <w:lang w:val="en-US" w:eastAsia="fr-FR"/>
      </w:rPr>
      <w:t xml:space="preserve"> </w:t>
    </w:r>
    <w:r w:rsidRPr="00221C3C">
      <w:rPr>
        <w:rFonts w:eastAsia="Times New Roman" w:cstheme="minorHAnsi"/>
        <w:b/>
        <w:bCs/>
        <w:sz w:val="18"/>
        <w:szCs w:val="18"/>
        <w:lang w:val="en-US" w:eastAsia="fr-FR"/>
      </w:rPr>
      <w:t xml:space="preserve">  |   ICE: 000028058000004</w:t>
    </w:r>
  </w:p>
  <w:p w:rsidR="00A87103" w:rsidRPr="00A87103" w:rsidRDefault="00A87103" w:rsidP="00A87103">
    <w:pPr>
      <w:pStyle w:val="Pieddepage"/>
      <w:spacing w:line="360" w:lineRule="auto"/>
      <w:jc w:val="center"/>
      <w:rPr>
        <w:rFonts w:cstheme="minorHAnsi"/>
        <w:sz w:val="16"/>
        <w:szCs w:val="16"/>
        <w:lang w:val="en-US"/>
      </w:rPr>
    </w:pPr>
    <w:r w:rsidRPr="00221C3C">
      <w:rPr>
        <w:rFonts w:ascii="Arial" w:hAnsi="Arial" w:cs="Arial"/>
        <w:b/>
        <w:bCs/>
        <w:color w:val="000000"/>
        <w:sz w:val="16"/>
        <w:szCs w:val="16"/>
        <w:shd w:val="clear" w:color="auto" w:fill="FFFFFF"/>
        <w:lang w:val="en-US"/>
      </w:rPr>
      <w:t>Tél: + 212 (0)522 227 872    |    E-mail:</w:t>
    </w:r>
    <w:r w:rsidRPr="00221C3C">
      <w:rPr>
        <w:rStyle w:val="apple-converted-space"/>
        <w:rFonts w:ascii="Arial" w:hAnsi="Arial" w:cs="Arial"/>
        <w:b/>
        <w:bCs/>
        <w:color w:val="000000"/>
        <w:sz w:val="16"/>
        <w:szCs w:val="16"/>
        <w:shd w:val="clear" w:color="auto" w:fill="FFFFFF"/>
        <w:lang w:val="en-US"/>
      </w:rPr>
      <w:t> </w:t>
    </w:r>
    <w:hyperlink r:id="rId1" w:history="1">
      <w:r w:rsidRPr="00221C3C">
        <w:rPr>
          <w:rStyle w:val="Lienhypertexte"/>
          <w:rFonts w:ascii="Arial" w:hAnsi="Arial" w:cs="Arial"/>
          <w:b/>
          <w:bCs/>
          <w:color w:val="000000"/>
          <w:sz w:val="16"/>
          <w:szCs w:val="16"/>
          <w:shd w:val="clear" w:color="auto" w:fill="FFFFFF"/>
          <w:lang w:val="en-US"/>
        </w:rPr>
        <w:t>contact@lasry-expertise-audit.com</w:t>
      </w:r>
    </w:hyperlink>
    <w:r w:rsidRPr="00221C3C">
      <w:rPr>
        <w:b/>
        <w:bCs/>
        <w:lang w:val="en-US"/>
      </w:rPr>
      <w:t xml:space="preserve">   </w:t>
    </w:r>
    <w:r w:rsidRPr="00221C3C">
      <w:rPr>
        <w:rFonts w:ascii="Arial" w:hAnsi="Arial" w:cs="Arial"/>
        <w:b/>
        <w:bCs/>
        <w:color w:val="000000"/>
        <w:sz w:val="16"/>
        <w:szCs w:val="16"/>
        <w:shd w:val="clear" w:color="auto" w:fill="FFFFFF"/>
        <w:lang w:val="en-US"/>
      </w:rPr>
      <w:t xml:space="preserve"> |    Web: www.lasry-expertise-audit.com</w:t>
    </w:r>
  </w:p>
  <w:p w:rsidR="00A87103" w:rsidRPr="00A87103" w:rsidRDefault="00A87103" w:rsidP="00A87103">
    <w:pPr>
      <w:spacing w:after="0"/>
      <w:jc w:val="center"/>
      <w:rPr>
        <w:rFonts w:eastAsia="Times New Roman" w:cstheme="minorHAnsi"/>
        <w:sz w:val="20"/>
        <w:szCs w:val="20"/>
        <w:lang w:val="en-US" w:eastAsia="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97A" w:rsidRDefault="0078297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3DF" w:rsidRDefault="00AD33DF" w:rsidP="00E41A65">
      <w:pPr>
        <w:spacing w:after="0" w:line="240" w:lineRule="auto"/>
      </w:pPr>
      <w:r>
        <w:separator/>
      </w:r>
    </w:p>
  </w:footnote>
  <w:footnote w:type="continuationSeparator" w:id="1">
    <w:p w:rsidR="00AD33DF" w:rsidRDefault="00AD33DF" w:rsidP="00E41A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97A" w:rsidRDefault="0078297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65" w:rsidRDefault="003A1573" w:rsidP="007C0E38">
    <w:pPr>
      <w:pStyle w:val="En-tte"/>
      <w:tabs>
        <w:tab w:val="clear" w:pos="4536"/>
        <w:tab w:val="clear" w:pos="9072"/>
      </w:tabs>
      <w:jc w:val="center"/>
    </w:pPr>
    <w:r>
      <w:rPr>
        <w:noProof/>
        <w:lang w:eastAsia="fr-FR"/>
      </w:rPr>
      <w:drawing>
        <wp:anchor distT="0" distB="0" distL="114300" distR="114300" simplePos="0" relativeHeight="251662336" behindDoc="0" locked="0" layoutInCell="1" allowOverlap="1">
          <wp:simplePos x="0" y="0"/>
          <wp:positionH relativeFrom="column">
            <wp:posOffset>4897157</wp:posOffset>
          </wp:positionH>
          <wp:positionV relativeFrom="paragraph">
            <wp:posOffset>181969</wp:posOffset>
          </wp:positionV>
          <wp:extent cx="1414732" cy="1061049"/>
          <wp:effectExtent l="0" t="0" r="0" b="0"/>
          <wp:wrapNone/>
          <wp:docPr id="2" name="Image 1" descr="\\axaf-ad\compta\Suivie Dossiers 2017\LOGO LASRY &amp; ASSOCI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xaf-ad\compta\Suivie Dossiers 2017\LOGO LASRY &amp; ASSOCIE\1.png"/>
                  <pic:cNvPicPr>
                    <a:picLocks noChangeAspect="1" noChangeArrowheads="1"/>
                  </pic:cNvPicPr>
                </pic:nvPicPr>
                <pic:blipFill>
                  <a:blip r:embed="rId1"/>
                  <a:srcRect/>
                  <a:stretch>
                    <a:fillRect/>
                  </a:stretch>
                </pic:blipFill>
                <pic:spPr bwMode="auto">
                  <a:xfrm>
                    <a:off x="0" y="0"/>
                    <a:ext cx="1414732" cy="1061049"/>
                  </a:xfrm>
                  <a:prstGeom prst="rect">
                    <a:avLst/>
                  </a:prstGeom>
                  <a:noFill/>
                  <a:ln w="9525">
                    <a:noFill/>
                    <a:miter lim="800000"/>
                    <a:headEnd/>
                    <a:tailEnd/>
                  </a:ln>
                </pic:spPr>
              </pic:pic>
            </a:graphicData>
          </a:graphic>
        </wp:anchor>
      </w:drawing>
    </w:r>
    <w:r w:rsidR="00A87103">
      <w:rPr>
        <w:noProof/>
        <w:lang w:eastAsia="fr-FR"/>
      </w:rPr>
      <w:drawing>
        <wp:anchor distT="0" distB="0" distL="114300" distR="114300" simplePos="0" relativeHeight="251661312" behindDoc="0" locked="0" layoutInCell="1" allowOverlap="1">
          <wp:simplePos x="0" y="0"/>
          <wp:positionH relativeFrom="column">
            <wp:posOffset>-554738</wp:posOffset>
          </wp:positionH>
          <wp:positionV relativeFrom="paragraph">
            <wp:posOffset>225102</wp:posOffset>
          </wp:positionV>
          <wp:extent cx="1130060" cy="965864"/>
          <wp:effectExtent l="0" t="0" r="0" b="0"/>
          <wp:wrapNone/>
          <wp:docPr id="1" name="Image 1" descr="C:\Users\Brahim\Desktop\Lasry\Photo\logo axaf final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him\Desktop\Lasry\Photo\logo axaf final37.png"/>
                  <pic:cNvPicPr>
                    <a:picLocks noChangeAspect="1" noChangeArrowheads="1"/>
                  </pic:cNvPicPr>
                </pic:nvPicPr>
                <pic:blipFill>
                  <a:blip r:embed="rId2"/>
                  <a:srcRect/>
                  <a:stretch>
                    <a:fillRect/>
                  </a:stretch>
                </pic:blipFill>
                <pic:spPr bwMode="auto">
                  <a:xfrm>
                    <a:off x="0" y="0"/>
                    <a:ext cx="1130061" cy="96586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97A" w:rsidRDefault="0078297A">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3554"/>
    <o:shapelayout v:ext="edit">
      <o:idmap v:ext="edit" data="6"/>
      <o:rules v:ext="edit">
        <o:r id="V:Rule2" type="connector" idref="#_x0000_s6145"/>
      </o:rules>
    </o:shapelayout>
  </w:hdrShapeDefaults>
  <w:footnotePr>
    <w:footnote w:id="0"/>
    <w:footnote w:id="1"/>
  </w:footnotePr>
  <w:endnotePr>
    <w:endnote w:id="0"/>
    <w:endnote w:id="1"/>
  </w:endnotePr>
  <w:compat/>
  <w:rsids>
    <w:rsidRoot w:val="006B3623"/>
    <w:rsid w:val="00040F08"/>
    <w:rsid w:val="001139AA"/>
    <w:rsid w:val="00120821"/>
    <w:rsid w:val="00130262"/>
    <w:rsid w:val="0016139E"/>
    <w:rsid w:val="001B4244"/>
    <w:rsid w:val="001D56FC"/>
    <w:rsid w:val="00221C3C"/>
    <w:rsid w:val="0030147A"/>
    <w:rsid w:val="003A1573"/>
    <w:rsid w:val="003A26F2"/>
    <w:rsid w:val="003B41DD"/>
    <w:rsid w:val="00431E6D"/>
    <w:rsid w:val="00445C4A"/>
    <w:rsid w:val="00482D30"/>
    <w:rsid w:val="004B3FBD"/>
    <w:rsid w:val="004C1071"/>
    <w:rsid w:val="00537D29"/>
    <w:rsid w:val="005A4830"/>
    <w:rsid w:val="005F241C"/>
    <w:rsid w:val="006542EC"/>
    <w:rsid w:val="006B3623"/>
    <w:rsid w:val="0078297A"/>
    <w:rsid w:val="007C0E38"/>
    <w:rsid w:val="00877F9A"/>
    <w:rsid w:val="008A5A3D"/>
    <w:rsid w:val="008D024F"/>
    <w:rsid w:val="008F2A7C"/>
    <w:rsid w:val="00956E60"/>
    <w:rsid w:val="009B37E0"/>
    <w:rsid w:val="00A51AB6"/>
    <w:rsid w:val="00A54D54"/>
    <w:rsid w:val="00A55F82"/>
    <w:rsid w:val="00A87103"/>
    <w:rsid w:val="00A97A63"/>
    <w:rsid w:val="00AD33DF"/>
    <w:rsid w:val="00B67E81"/>
    <w:rsid w:val="00B841A3"/>
    <w:rsid w:val="00BE5666"/>
    <w:rsid w:val="00BF7F91"/>
    <w:rsid w:val="00C406C3"/>
    <w:rsid w:val="00C457DB"/>
    <w:rsid w:val="00D13201"/>
    <w:rsid w:val="00DD6081"/>
    <w:rsid w:val="00E35A64"/>
    <w:rsid w:val="00E41A65"/>
    <w:rsid w:val="00E65EA2"/>
    <w:rsid w:val="00EF1E71"/>
    <w:rsid w:val="00F21E2A"/>
    <w:rsid w:val="00F76B42"/>
    <w:rsid w:val="00FA7519"/>
    <w:rsid w:val="00FC34A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21"/>
  </w:style>
  <w:style w:type="paragraph" w:styleId="Titre2">
    <w:name w:val="heading 2"/>
    <w:basedOn w:val="Normal"/>
    <w:link w:val="Titre2Car"/>
    <w:uiPriority w:val="9"/>
    <w:qFormat/>
    <w:rsid w:val="006B362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B362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B362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B3623"/>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6B36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6B3623"/>
  </w:style>
  <w:style w:type="paragraph" w:styleId="En-tte">
    <w:name w:val="header"/>
    <w:basedOn w:val="Normal"/>
    <w:link w:val="En-tteCar"/>
    <w:uiPriority w:val="99"/>
    <w:semiHidden/>
    <w:unhideWhenUsed/>
    <w:rsid w:val="00E41A6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41A65"/>
  </w:style>
  <w:style w:type="paragraph" w:styleId="Pieddepage">
    <w:name w:val="footer"/>
    <w:basedOn w:val="Normal"/>
    <w:link w:val="PieddepageCar"/>
    <w:uiPriority w:val="99"/>
    <w:unhideWhenUsed/>
    <w:rsid w:val="00E41A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1A65"/>
  </w:style>
  <w:style w:type="paragraph" w:styleId="Textedebulles">
    <w:name w:val="Balloon Text"/>
    <w:basedOn w:val="Normal"/>
    <w:link w:val="TextedebullesCar"/>
    <w:uiPriority w:val="99"/>
    <w:semiHidden/>
    <w:unhideWhenUsed/>
    <w:rsid w:val="00E41A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1A65"/>
    <w:rPr>
      <w:rFonts w:ascii="Tahoma" w:hAnsi="Tahoma" w:cs="Tahoma"/>
      <w:sz w:val="16"/>
      <w:szCs w:val="16"/>
    </w:rPr>
  </w:style>
  <w:style w:type="paragraph" w:customStyle="1" w:styleId="chapo">
    <w:name w:val="chapo"/>
    <w:basedOn w:val="Normal"/>
    <w:rsid w:val="00A97A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97A63"/>
    <w:rPr>
      <w:b/>
      <w:bCs/>
    </w:rPr>
  </w:style>
  <w:style w:type="character" w:styleId="Lienhypertexte">
    <w:name w:val="Hyperlink"/>
    <w:basedOn w:val="Policepardfaut"/>
    <w:uiPriority w:val="99"/>
    <w:semiHidden/>
    <w:unhideWhenUsed/>
    <w:rsid w:val="00A97A63"/>
    <w:rPr>
      <w:color w:val="0000FF"/>
      <w:u w:val="single"/>
    </w:rPr>
  </w:style>
</w:styles>
</file>

<file path=word/webSettings.xml><?xml version="1.0" encoding="utf-8"?>
<w:webSettings xmlns:r="http://schemas.openxmlformats.org/officeDocument/2006/relationships" xmlns:w="http://schemas.openxmlformats.org/wordprocessingml/2006/main">
  <w:divs>
    <w:div w:id="291325581">
      <w:bodyDiv w:val="1"/>
      <w:marLeft w:val="0"/>
      <w:marRight w:val="0"/>
      <w:marTop w:val="0"/>
      <w:marBottom w:val="0"/>
      <w:divBdr>
        <w:top w:val="none" w:sz="0" w:space="0" w:color="auto"/>
        <w:left w:val="none" w:sz="0" w:space="0" w:color="auto"/>
        <w:bottom w:val="none" w:sz="0" w:space="0" w:color="auto"/>
        <w:right w:val="none" w:sz="0" w:space="0" w:color="auto"/>
      </w:divBdr>
      <w:divsChild>
        <w:div w:id="1655841989">
          <w:marLeft w:val="0"/>
          <w:marRight w:val="0"/>
          <w:marTop w:val="0"/>
          <w:marBottom w:val="0"/>
          <w:divBdr>
            <w:top w:val="none" w:sz="0" w:space="0" w:color="auto"/>
            <w:left w:val="none" w:sz="0" w:space="0" w:color="auto"/>
            <w:bottom w:val="none" w:sz="0" w:space="0" w:color="auto"/>
            <w:right w:val="none" w:sz="0" w:space="0" w:color="auto"/>
          </w:divBdr>
        </w:div>
        <w:div w:id="523326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ntact@lasry-expertise-audit.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516</Words>
  <Characters>2839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Brahim</cp:lastModifiedBy>
  <cp:revision>7</cp:revision>
  <cp:lastPrinted>2018-04-12T15:57:00Z</cp:lastPrinted>
  <dcterms:created xsi:type="dcterms:W3CDTF">2018-05-07T08:23:00Z</dcterms:created>
  <dcterms:modified xsi:type="dcterms:W3CDTF">2018-05-07T11:06:00Z</dcterms:modified>
</cp:coreProperties>
</file>