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E38" w:rsidRDefault="007C0E38" w:rsidP="00E41A65">
      <w:pPr>
        <w:shd w:val="clear" w:color="auto" w:fill="FFFFFF"/>
        <w:spacing w:after="225" w:line="390" w:lineRule="atLeast"/>
        <w:jc w:val="both"/>
        <w:outlineLvl w:val="1"/>
        <w:rPr>
          <w:rFonts w:asciiTheme="majorBidi" w:eastAsia="Times New Roman" w:hAnsiTheme="majorBidi" w:cstheme="majorBidi"/>
          <w:color w:val="0070C0"/>
          <w:sz w:val="30"/>
          <w:szCs w:val="30"/>
          <w:lang w:eastAsia="fr-FR"/>
        </w:rPr>
      </w:pPr>
    </w:p>
    <w:p w:rsidR="00E41A65" w:rsidRPr="00A97A63" w:rsidRDefault="00E41A65" w:rsidP="000317EF">
      <w:pPr>
        <w:shd w:val="clear" w:color="auto" w:fill="FFFFFF"/>
        <w:spacing w:after="225" w:line="390" w:lineRule="atLeast"/>
        <w:outlineLvl w:val="1"/>
        <w:rPr>
          <w:rFonts w:eastAsia="Times New Roman" w:cstheme="minorHAnsi"/>
          <w:color w:val="0070C0"/>
          <w:sz w:val="30"/>
          <w:szCs w:val="30"/>
          <w:u w:val="single"/>
          <w:lang w:eastAsia="fr-FR"/>
        </w:rPr>
      </w:pPr>
      <w:r w:rsidRPr="00A97A63">
        <w:rPr>
          <w:rFonts w:eastAsia="Times New Roman" w:cstheme="minorHAnsi"/>
          <w:color w:val="0070C0"/>
          <w:sz w:val="30"/>
          <w:szCs w:val="30"/>
          <w:u w:val="single"/>
          <w:lang w:eastAsia="fr-FR"/>
        </w:rPr>
        <w:t xml:space="preserve">Flash d’information N° </w:t>
      </w:r>
      <w:r w:rsidR="00A97A63" w:rsidRPr="00A97A63">
        <w:rPr>
          <w:rFonts w:eastAsia="Times New Roman" w:cstheme="minorHAnsi"/>
          <w:color w:val="0070C0"/>
          <w:sz w:val="30"/>
          <w:szCs w:val="30"/>
          <w:u w:val="single"/>
          <w:lang w:eastAsia="fr-FR"/>
        </w:rPr>
        <w:t>3</w:t>
      </w:r>
      <w:r w:rsidRPr="00A97A63">
        <w:rPr>
          <w:rFonts w:eastAsia="Times New Roman" w:cstheme="minorHAnsi"/>
          <w:color w:val="0070C0"/>
          <w:sz w:val="30"/>
          <w:szCs w:val="30"/>
          <w:lang w:eastAsia="fr-FR"/>
        </w:rPr>
        <w:tab/>
      </w:r>
      <w:r w:rsidRPr="00A97A63">
        <w:rPr>
          <w:rFonts w:eastAsia="Times New Roman" w:cstheme="minorHAnsi"/>
          <w:color w:val="0070C0"/>
          <w:sz w:val="30"/>
          <w:szCs w:val="30"/>
          <w:lang w:eastAsia="fr-FR"/>
        </w:rPr>
        <w:tab/>
      </w:r>
      <w:r w:rsidRPr="00A97A63">
        <w:rPr>
          <w:rFonts w:eastAsia="Times New Roman" w:cstheme="minorHAnsi"/>
          <w:color w:val="0070C0"/>
          <w:sz w:val="30"/>
          <w:szCs w:val="30"/>
          <w:lang w:eastAsia="fr-FR"/>
        </w:rPr>
        <w:tab/>
      </w:r>
      <w:r w:rsidRPr="00A97A63">
        <w:rPr>
          <w:rFonts w:eastAsia="Times New Roman" w:cstheme="minorHAnsi"/>
          <w:color w:val="0070C0"/>
          <w:sz w:val="30"/>
          <w:szCs w:val="30"/>
          <w:lang w:eastAsia="fr-FR"/>
        </w:rPr>
        <w:tab/>
      </w:r>
      <w:r w:rsidRPr="00A97A63">
        <w:rPr>
          <w:rFonts w:eastAsia="Times New Roman" w:cstheme="minorHAnsi"/>
          <w:color w:val="0070C0"/>
          <w:sz w:val="30"/>
          <w:szCs w:val="30"/>
          <w:lang w:eastAsia="fr-FR"/>
        </w:rPr>
        <w:tab/>
      </w:r>
      <w:r w:rsidR="00A87103">
        <w:rPr>
          <w:rFonts w:eastAsia="Times New Roman" w:cstheme="minorHAnsi"/>
          <w:color w:val="0070C0"/>
          <w:sz w:val="30"/>
          <w:szCs w:val="30"/>
          <w:lang w:eastAsia="fr-FR"/>
        </w:rPr>
        <w:t xml:space="preserve">        </w:t>
      </w:r>
      <w:r w:rsidR="00A87103">
        <w:rPr>
          <w:rFonts w:eastAsia="Times New Roman" w:cstheme="minorHAnsi"/>
          <w:color w:val="0070C0"/>
          <w:sz w:val="30"/>
          <w:szCs w:val="30"/>
          <w:lang w:eastAsia="fr-FR"/>
        </w:rPr>
        <w:tab/>
      </w:r>
      <w:r w:rsidR="000317EF">
        <w:rPr>
          <w:rFonts w:eastAsia="Times New Roman" w:cstheme="minorHAnsi"/>
          <w:color w:val="0070C0"/>
          <w:sz w:val="30"/>
          <w:szCs w:val="30"/>
          <w:u w:val="single"/>
          <w:lang w:eastAsia="fr-FR"/>
        </w:rPr>
        <w:t>Mars</w:t>
      </w:r>
      <w:r w:rsidRPr="00A97A63">
        <w:rPr>
          <w:rFonts w:eastAsia="Times New Roman" w:cstheme="minorHAnsi"/>
          <w:color w:val="0070C0"/>
          <w:sz w:val="30"/>
          <w:szCs w:val="30"/>
          <w:u w:val="single"/>
          <w:lang w:eastAsia="fr-FR"/>
        </w:rPr>
        <w:t xml:space="preserve"> 2017 </w:t>
      </w:r>
    </w:p>
    <w:p w:rsidR="00E41A65" w:rsidRPr="00A97A63" w:rsidRDefault="006B3623" w:rsidP="006B3623">
      <w:pPr>
        <w:shd w:val="clear" w:color="auto" w:fill="FFFFFF"/>
        <w:spacing w:after="225" w:line="390" w:lineRule="atLeast"/>
        <w:jc w:val="both"/>
        <w:outlineLvl w:val="1"/>
        <w:rPr>
          <w:rFonts w:eastAsia="Times New Roman" w:cstheme="minorHAnsi"/>
          <w:color w:val="0070C0"/>
          <w:sz w:val="30"/>
          <w:szCs w:val="30"/>
          <w:lang w:eastAsia="fr-FR"/>
        </w:rPr>
      </w:pPr>
      <w:r w:rsidRPr="00A97A63">
        <w:rPr>
          <w:rFonts w:eastAsia="Times New Roman" w:cstheme="minorHAnsi"/>
          <w:color w:val="0070C0"/>
          <w:sz w:val="30"/>
          <w:szCs w:val="30"/>
          <w:lang w:eastAsia="fr-FR"/>
        </w:rPr>
        <w:t xml:space="preserve">                      </w:t>
      </w:r>
    </w:p>
    <w:p w:rsidR="00A97A63" w:rsidRPr="00A97A63" w:rsidRDefault="00A97A63" w:rsidP="00A97A63">
      <w:pPr>
        <w:pStyle w:val="chapo"/>
        <w:spacing w:before="180" w:beforeAutospacing="0" w:after="0" w:afterAutospacing="0" w:line="336" w:lineRule="atLeast"/>
        <w:jc w:val="center"/>
        <w:rPr>
          <w:rFonts w:asciiTheme="minorHAnsi" w:hAnsiTheme="minorHAnsi" w:cstheme="minorHAnsi"/>
          <w:color w:val="548DD4" w:themeColor="text2" w:themeTint="99"/>
          <w:sz w:val="28"/>
          <w:szCs w:val="28"/>
        </w:rPr>
      </w:pPr>
      <w:r w:rsidRPr="00A97A63">
        <w:rPr>
          <w:rStyle w:val="lev"/>
          <w:rFonts w:asciiTheme="minorHAnsi" w:hAnsiTheme="minorHAnsi" w:cstheme="minorHAnsi"/>
          <w:color w:val="548DD4" w:themeColor="text2" w:themeTint="99"/>
          <w:sz w:val="28"/>
          <w:szCs w:val="28"/>
        </w:rPr>
        <w:t>La direction générale des impôts veut "normaliser" le contrôle fiscal et lui enlever son caractère exceptionnel, tout en garantissant les droits du contribuable.</w:t>
      </w:r>
    </w:p>
    <w:p w:rsidR="00A97A63" w:rsidRPr="00A97A63" w:rsidRDefault="00A97A63" w:rsidP="00A97A63">
      <w:pPr>
        <w:pStyle w:val="NormalWeb"/>
        <w:spacing w:before="180" w:beforeAutospacing="0" w:after="0" w:afterAutospacing="0" w:line="336" w:lineRule="atLeast"/>
        <w:jc w:val="both"/>
        <w:rPr>
          <w:rFonts w:asciiTheme="minorHAnsi" w:hAnsiTheme="minorHAnsi" w:cstheme="minorHAnsi"/>
          <w:color w:val="333333"/>
        </w:rPr>
      </w:pPr>
      <w:r w:rsidRPr="00A97A63">
        <w:rPr>
          <w:rFonts w:asciiTheme="minorHAnsi" w:hAnsiTheme="minorHAnsi" w:cstheme="minorHAnsi"/>
          <w:color w:val="333333"/>
        </w:rPr>
        <w:t>En 2017, la direction générale des impôts (DGI) veut intensifier ses opérations relatives au</w:t>
      </w:r>
      <w:r w:rsidRPr="00A97A63">
        <w:rPr>
          <w:rStyle w:val="apple-converted-space"/>
          <w:rFonts w:asciiTheme="minorHAnsi" w:hAnsiTheme="minorHAnsi" w:cstheme="minorHAnsi"/>
          <w:color w:val="333333"/>
        </w:rPr>
        <w:t> </w:t>
      </w:r>
      <w:r w:rsidRPr="00A97A63">
        <w:rPr>
          <w:rStyle w:val="lev"/>
          <w:rFonts w:asciiTheme="minorHAnsi" w:hAnsiTheme="minorHAnsi" w:cstheme="minorHAnsi"/>
          <w:color w:val="333333"/>
        </w:rPr>
        <w:t>droit de constatation</w:t>
      </w:r>
      <w:r w:rsidRPr="00A97A63">
        <w:rPr>
          <w:rFonts w:asciiTheme="minorHAnsi" w:hAnsiTheme="minorHAnsi" w:cstheme="minorHAnsi"/>
          <w:color w:val="333333"/>
        </w:rPr>
        <w:t>. C’est ce qui ressort d’une note interne qui détermine les orientations générales prévues pour le contrôle fiscal courant 2017.</w:t>
      </w:r>
    </w:p>
    <w:p w:rsidR="00A97A63" w:rsidRPr="00A97A63" w:rsidRDefault="00A97A63" w:rsidP="00A97A63">
      <w:pPr>
        <w:pStyle w:val="NormalWeb"/>
        <w:spacing w:before="180" w:beforeAutospacing="0" w:after="0" w:afterAutospacing="0" w:line="336" w:lineRule="atLeast"/>
        <w:jc w:val="both"/>
        <w:rPr>
          <w:rFonts w:asciiTheme="minorHAnsi" w:hAnsiTheme="minorHAnsi" w:cstheme="minorHAnsi"/>
          <w:color w:val="333333"/>
        </w:rPr>
      </w:pPr>
      <w:r w:rsidRPr="00A97A63">
        <w:rPr>
          <w:rFonts w:asciiTheme="minorHAnsi" w:hAnsiTheme="minorHAnsi" w:cstheme="minorHAnsi"/>
          <w:color w:val="333333"/>
        </w:rPr>
        <w:t>Il y a, tout d’abord, la procédure de déclaration rectificative qui permet au contribuable de rectifier les erreurs matérielles qui peuvent grever sa déclaration, suite aux observations qui lui sont notifiées par l’administration fiscale. La DGI estime que l’efficacité de cette procédure doit être recherchée à travers la qualité et la pertinence des observations notifiées et nullement par un "quelconque moyen de persuasion subjective".</w:t>
      </w:r>
    </w:p>
    <w:p w:rsidR="00A97A63" w:rsidRDefault="00A97A63" w:rsidP="00A97A63">
      <w:pPr>
        <w:pStyle w:val="NormalWeb"/>
        <w:spacing w:before="180" w:beforeAutospacing="0" w:after="0" w:afterAutospacing="0" w:line="336" w:lineRule="atLeast"/>
        <w:jc w:val="both"/>
        <w:rPr>
          <w:rFonts w:asciiTheme="minorHAnsi" w:hAnsiTheme="minorHAnsi" w:cstheme="minorHAnsi"/>
          <w:color w:val="333333"/>
        </w:rPr>
      </w:pPr>
      <w:r w:rsidRPr="00A97A63">
        <w:rPr>
          <w:rFonts w:asciiTheme="minorHAnsi" w:hAnsiTheme="minorHAnsi" w:cstheme="minorHAnsi"/>
          <w:color w:val="333333"/>
        </w:rPr>
        <w:t>D’une autre part, la DGI insiste sur la nécessité de la tenue d’une réunion de</w:t>
      </w:r>
      <w:r w:rsidRPr="00A97A63">
        <w:rPr>
          <w:rStyle w:val="apple-converted-space"/>
          <w:rFonts w:asciiTheme="minorHAnsi" w:hAnsiTheme="minorHAnsi" w:cstheme="minorHAnsi"/>
          <w:color w:val="333333"/>
        </w:rPr>
        <w:t> </w:t>
      </w:r>
      <w:r w:rsidRPr="00A97A63">
        <w:rPr>
          <w:rStyle w:val="lev"/>
          <w:rFonts w:asciiTheme="minorHAnsi" w:hAnsiTheme="minorHAnsi" w:cstheme="minorHAnsi"/>
          <w:color w:val="333333"/>
        </w:rPr>
        <w:t>débat oral et contradictoire</w:t>
      </w:r>
      <w:r w:rsidRPr="00A97A63">
        <w:rPr>
          <w:rStyle w:val="apple-converted-space"/>
          <w:rFonts w:asciiTheme="minorHAnsi" w:hAnsiTheme="minorHAnsi" w:cstheme="minorHAnsi"/>
          <w:color w:val="333333"/>
        </w:rPr>
        <w:t> </w:t>
      </w:r>
      <w:r w:rsidRPr="00A97A63">
        <w:rPr>
          <w:rFonts w:asciiTheme="minorHAnsi" w:hAnsiTheme="minorHAnsi" w:cstheme="minorHAnsi"/>
          <w:color w:val="333333"/>
        </w:rPr>
        <w:t>entre les inspecteurs vérificateurs et le contribuable à l’issue d’une mission de vérification sur place.</w:t>
      </w:r>
    </w:p>
    <w:p w:rsidR="003A1573" w:rsidRPr="00A97A63" w:rsidRDefault="003A1573" w:rsidP="00A97A63">
      <w:pPr>
        <w:pStyle w:val="NormalWeb"/>
        <w:spacing w:before="180" w:beforeAutospacing="0" w:after="0" w:afterAutospacing="0" w:line="336" w:lineRule="atLeast"/>
        <w:jc w:val="both"/>
        <w:rPr>
          <w:rFonts w:asciiTheme="minorHAnsi" w:hAnsiTheme="minorHAnsi" w:cstheme="minorHAnsi"/>
          <w:color w:val="333333"/>
        </w:rPr>
      </w:pPr>
    </w:p>
    <w:p w:rsidR="00A97A63" w:rsidRPr="00A97A63" w:rsidRDefault="00A97A63" w:rsidP="00A97A63">
      <w:pPr>
        <w:pStyle w:val="NormalWeb"/>
        <w:spacing w:before="180" w:beforeAutospacing="0" w:after="0" w:afterAutospacing="0" w:line="336" w:lineRule="atLeast"/>
        <w:jc w:val="both"/>
        <w:rPr>
          <w:rFonts w:asciiTheme="minorHAnsi" w:hAnsiTheme="minorHAnsi" w:cstheme="minorHAnsi"/>
          <w:color w:val="333333"/>
        </w:rPr>
      </w:pPr>
      <w:r w:rsidRPr="00A97A63">
        <w:rPr>
          <w:rFonts w:asciiTheme="minorHAnsi" w:hAnsiTheme="minorHAnsi" w:cstheme="minorHAnsi"/>
          <w:color w:val="333333"/>
        </w:rPr>
        <w:t>Une réunion qui permettra de confronter les observations des inspecteurs aux justifications et aux arguments de la partie vérifiée, afin de "garantir un dialogue fiscal sincère et transparent que la DGI veut instaurer avec ses usagers". Un rappel à l'ordre bienvenu puisque les interprétations divergentes du texte fiscal sévissent auprès des opérateurs économiques et sont à l'origine de bon nombre de corrections fiscales.</w:t>
      </w:r>
    </w:p>
    <w:p w:rsidR="00A97A63" w:rsidRPr="00A97A63" w:rsidRDefault="00A97A63" w:rsidP="00A97A63">
      <w:pPr>
        <w:pStyle w:val="NormalWeb"/>
        <w:spacing w:before="180" w:beforeAutospacing="0" w:after="0" w:afterAutospacing="0" w:line="336" w:lineRule="atLeast"/>
        <w:jc w:val="both"/>
        <w:rPr>
          <w:rFonts w:asciiTheme="minorHAnsi" w:hAnsiTheme="minorHAnsi" w:cstheme="minorHAnsi"/>
          <w:color w:val="333333"/>
        </w:rPr>
      </w:pPr>
      <w:r w:rsidRPr="00A97A63">
        <w:rPr>
          <w:rFonts w:asciiTheme="minorHAnsi" w:hAnsiTheme="minorHAnsi" w:cstheme="minorHAnsi"/>
          <w:color w:val="333333"/>
        </w:rPr>
        <w:t>Par ailleurs, la DGI veut engager, dans le processus de rectification des bases d’imposition, un véritable dialogue entre les parties prenantes. Elle veut également en faire un procédé opposable même devant le juge. Qui plus est, le fisc prône une rectification "réaliste", c'est-à-dire conforme aux capacités contributives réelles du contribuable afin de faciliter l’obtention d’accords à l’amiable entre les parties impliquées.</w:t>
      </w:r>
    </w:p>
    <w:p w:rsidR="00A97A63" w:rsidRPr="00A97A63" w:rsidRDefault="00A97A63" w:rsidP="00A97A63">
      <w:pPr>
        <w:pStyle w:val="NormalWeb"/>
        <w:spacing w:before="180" w:beforeAutospacing="0" w:after="0" w:afterAutospacing="0" w:line="336" w:lineRule="atLeast"/>
        <w:jc w:val="both"/>
        <w:rPr>
          <w:rFonts w:asciiTheme="minorHAnsi" w:hAnsiTheme="minorHAnsi" w:cstheme="minorHAnsi"/>
          <w:color w:val="333333"/>
        </w:rPr>
      </w:pPr>
      <w:r w:rsidRPr="00A97A63">
        <w:rPr>
          <w:rFonts w:asciiTheme="minorHAnsi" w:hAnsiTheme="minorHAnsi" w:cstheme="minorHAnsi"/>
          <w:color w:val="333333"/>
        </w:rPr>
        <w:lastRenderedPageBreak/>
        <w:t>Ce débat oral entre le vérificateur et le contribuable, représente un des éléments du cadre procédural du contrôle que la DGI veut améliorer dans le cadre du renforcement de son offre de sécurité juridique. Dans la même optique, le fisc veut développer des mécanismes de consultation préalable.</w:t>
      </w:r>
    </w:p>
    <w:p w:rsidR="00A97A63" w:rsidRPr="00A97A63" w:rsidRDefault="00A97A63" w:rsidP="00A97A63">
      <w:pPr>
        <w:pStyle w:val="NormalWeb"/>
        <w:spacing w:before="180" w:beforeAutospacing="0" w:after="0" w:afterAutospacing="0" w:line="336" w:lineRule="atLeast"/>
        <w:jc w:val="both"/>
        <w:rPr>
          <w:rFonts w:asciiTheme="minorHAnsi" w:hAnsiTheme="minorHAnsi" w:cstheme="minorHAnsi"/>
          <w:color w:val="333333"/>
        </w:rPr>
      </w:pPr>
      <w:r w:rsidRPr="00A97A63">
        <w:rPr>
          <w:rFonts w:asciiTheme="minorHAnsi" w:hAnsiTheme="minorHAnsi" w:cstheme="minorHAnsi"/>
          <w:color w:val="333333"/>
        </w:rPr>
        <w:t>Le fisc affirme qu’il poursuivra également sa lutte contre le secteur informel selon une démarche de concertation avec les organisations professionnelles, pour l’identification et la détection des flux économiques et financiers non déclarés, et l’exploitation optimale de toutes les informations obtenues de la part des partenaires institutionnels de la DGI.</w:t>
      </w:r>
    </w:p>
    <w:p w:rsidR="00082CD3" w:rsidRPr="00A97A63" w:rsidRDefault="00A97A63" w:rsidP="00A97A63">
      <w:pPr>
        <w:pStyle w:val="NormalWeb"/>
        <w:spacing w:before="180" w:beforeAutospacing="0" w:after="0" w:afterAutospacing="0" w:line="336" w:lineRule="atLeast"/>
        <w:jc w:val="both"/>
        <w:rPr>
          <w:rFonts w:asciiTheme="minorHAnsi" w:hAnsiTheme="minorHAnsi" w:cstheme="minorHAnsi"/>
          <w:color w:val="333333"/>
        </w:rPr>
      </w:pPr>
      <w:r w:rsidRPr="00A97A63">
        <w:rPr>
          <w:rFonts w:asciiTheme="minorHAnsi" w:hAnsiTheme="minorHAnsi" w:cstheme="minorHAnsi"/>
          <w:color w:val="333333"/>
        </w:rPr>
        <w:t>Qui plus est, la DGI envisage, en fonction du retour d’expérience de 2016, l’amélioration des critères du</w:t>
      </w:r>
      <w:r w:rsidRPr="00A97A63">
        <w:rPr>
          <w:rStyle w:val="apple-converted-space"/>
          <w:rFonts w:asciiTheme="minorHAnsi" w:hAnsiTheme="minorHAnsi" w:cstheme="minorHAnsi"/>
          <w:color w:val="333333"/>
        </w:rPr>
        <w:t> </w:t>
      </w:r>
      <w:hyperlink r:id="rId6" w:tgtFrame="_blank" w:history="1">
        <w:r w:rsidRPr="00A97A63">
          <w:rPr>
            <w:rStyle w:val="Lienhypertexte"/>
            <w:rFonts w:asciiTheme="minorHAnsi" w:hAnsiTheme="minorHAnsi" w:cstheme="minorHAnsi"/>
            <w:color w:val="auto"/>
            <w:u w:val="none"/>
          </w:rPr>
          <w:t>système d’analyse des risques</w:t>
        </w:r>
      </w:hyperlink>
      <w:r w:rsidRPr="00A97A63">
        <w:rPr>
          <w:rStyle w:val="apple-converted-space"/>
          <w:rFonts w:asciiTheme="minorHAnsi" w:hAnsiTheme="minorHAnsi" w:cstheme="minorHAnsi"/>
        </w:rPr>
        <w:t> </w:t>
      </w:r>
      <w:r w:rsidRPr="00A97A63">
        <w:rPr>
          <w:rFonts w:asciiTheme="minorHAnsi" w:hAnsiTheme="minorHAnsi" w:cstheme="minorHAnsi"/>
        </w:rPr>
        <w:t>q</w:t>
      </w:r>
      <w:r w:rsidRPr="00A97A63">
        <w:rPr>
          <w:rFonts w:asciiTheme="minorHAnsi" w:hAnsiTheme="minorHAnsi" w:cstheme="minorHAnsi"/>
          <w:color w:val="333333"/>
        </w:rPr>
        <w:t>u’elle utilise pour la sélection des entreprises qui seront contrôlées.</w:t>
      </w:r>
    </w:p>
    <w:sectPr w:rsidR="00082CD3" w:rsidRPr="00A97A63" w:rsidSect="003A1573">
      <w:headerReference w:type="default" r:id="rId7"/>
      <w:footerReference w:type="default" r:id="rId8"/>
      <w:pgSz w:w="11906" w:h="16838"/>
      <w:pgMar w:top="2269" w:right="1417" w:bottom="2552" w:left="1417" w:header="284" w:footer="508" w:gutter="0"/>
      <w:pgBorders w:offsetFrom="page">
        <w:top w:val="dashDotStroked" w:sz="24" w:space="24" w:color="548DD4" w:themeColor="text2" w:themeTint="99"/>
        <w:left w:val="dashDotStroked" w:sz="24" w:space="24" w:color="548DD4" w:themeColor="text2" w:themeTint="99"/>
        <w:bottom w:val="dashDotStroked" w:sz="24" w:space="24" w:color="548DD4" w:themeColor="text2" w:themeTint="99"/>
        <w:right w:val="dashDotStroked" w:sz="24" w:space="24" w:color="548DD4" w:themeColor="text2" w:themeTint="99"/>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74AD" w:rsidRDefault="00A074AD" w:rsidP="00E41A65">
      <w:pPr>
        <w:spacing w:after="0" w:line="240" w:lineRule="auto"/>
      </w:pPr>
      <w:r>
        <w:separator/>
      </w:r>
    </w:p>
  </w:endnote>
  <w:endnote w:type="continuationSeparator" w:id="1">
    <w:p w:rsidR="00A074AD" w:rsidRDefault="00A074AD" w:rsidP="00E41A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103" w:rsidRPr="00221C3C" w:rsidRDefault="00E94494" w:rsidP="00A87103">
    <w:pPr>
      <w:spacing w:after="0"/>
      <w:jc w:val="center"/>
      <w:rPr>
        <w:rFonts w:eastAsia="Times New Roman" w:cstheme="minorHAnsi"/>
        <w:b/>
        <w:bCs/>
        <w:sz w:val="18"/>
        <w:szCs w:val="18"/>
        <w:lang w:eastAsia="fr-FR"/>
      </w:rPr>
    </w:pPr>
    <w:r>
      <w:rPr>
        <w:rFonts w:eastAsia="Times New Roman" w:cstheme="minorHAnsi"/>
        <w:b/>
        <w:bCs/>
        <w:noProof/>
        <w:sz w:val="18"/>
        <w:szCs w:val="18"/>
        <w:lang w:eastAsia="fr-FR"/>
      </w:rPr>
      <w:pict>
        <v:shapetype id="_x0000_t32" coordsize="21600,21600" o:spt="32" o:oned="t" path="m,l21600,21600e" filled="f">
          <v:path arrowok="t" fillok="f" o:connecttype="none"/>
          <o:lock v:ext="edit" shapetype="t"/>
        </v:shapetype>
        <v:shape id="_x0000_s6145" type="#_x0000_t32" style="position:absolute;left:0;text-align:left;margin-left:132.9pt;margin-top:-6.1pt;width:175.95pt;height:0;flip:y;z-index:251660288" o:connectortype="straight" strokeweight=".5pt"/>
      </w:pict>
    </w:r>
    <w:r w:rsidR="00A87103" w:rsidRPr="00221C3C">
      <w:rPr>
        <w:rFonts w:eastAsia="Times New Roman" w:cstheme="minorHAnsi"/>
        <w:b/>
        <w:bCs/>
        <w:sz w:val="18"/>
        <w:szCs w:val="18"/>
        <w:lang w:eastAsia="fr-FR"/>
      </w:rPr>
      <w:t>ANGLE RUE OMAR RIFFI ET EMILE GROS RES.TITRIT II IMM B3 ETG N°1 20120 CASABLANCA</w:t>
    </w:r>
  </w:p>
  <w:p w:rsidR="00C457DB" w:rsidRPr="00221C3C" w:rsidRDefault="00A87103" w:rsidP="00A87103">
    <w:pPr>
      <w:spacing w:after="0"/>
      <w:jc w:val="center"/>
      <w:rPr>
        <w:rFonts w:eastAsia="Times New Roman" w:cstheme="minorHAnsi"/>
        <w:b/>
        <w:bCs/>
        <w:sz w:val="18"/>
        <w:szCs w:val="18"/>
        <w:lang w:val="en-US" w:eastAsia="fr-FR"/>
      </w:rPr>
    </w:pPr>
    <w:r w:rsidRPr="00221C3C">
      <w:rPr>
        <w:rFonts w:eastAsia="Times New Roman" w:cstheme="minorHAnsi"/>
        <w:b/>
        <w:bCs/>
        <w:sz w:val="18"/>
        <w:szCs w:val="18"/>
        <w:lang w:val="en-US" w:eastAsia="fr-FR"/>
      </w:rPr>
      <w:t>RC: 138481   |   TP: 34253627</w:t>
    </w:r>
    <w:r w:rsidR="003A1573">
      <w:rPr>
        <w:rFonts w:eastAsia="Times New Roman" w:cstheme="minorHAnsi"/>
        <w:b/>
        <w:bCs/>
        <w:sz w:val="18"/>
        <w:szCs w:val="18"/>
        <w:lang w:val="en-US" w:eastAsia="fr-FR"/>
      </w:rPr>
      <w:t xml:space="preserve"> </w:t>
    </w:r>
    <w:r w:rsidRPr="00221C3C">
      <w:rPr>
        <w:rFonts w:eastAsia="Times New Roman" w:cstheme="minorHAnsi"/>
        <w:b/>
        <w:bCs/>
        <w:sz w:val="18"/>
        <w:szCs w:val="18"/>
        <w:lang w:val="en-US" w:eastAsia="fr-FR"/>
      </w:rPr>
      <w:t xml:space="preserve">  |    CNSS: 6941216   |    IF: 1102175</w:t>
    </w:r>
    <w:r w:rsidR="003A1573">
      <w:rPr>
        <w:rFonts w:eastAsia="Times New Roman" w:cstheme="minorHAnsi"/>
        <w:b/>
        <w:bCs/>
        <w:sz w:val="18"/>
        <w:szCs w:val="18"/>
        <w:lang w:val="en-US" w:eastAsia="fr-FR"/>
      </w:rPr>
      <w:t xml:space="preserve"> </w:t>
    </w:r>
    <w:r w:rsidRPr="00221C3C">
      <w:rPr>
        <w:rFonts w:eastAsia="Times New Roman" w:cstheme="minorHAnsi"/>
        <w:b/>
        <w:bCs/>
        <w:sz w:val="18"/>
        <w:szCs w:val="18"/>
        <w:lang w:val="en-US" w:eastAsia="fr-FR"/>
      </w:rPr>
      <w:t xml:space="preserve">  |   ICE: 000028058000004</w:t>
    </w:r>
  </w:p>
  <w:p w:rsidR="00A87103" w:rsidRPr="00A87103" w:rsidRDefault="00A87103" w:rsidP="00A87103">
    <w:pPr>
      <w:pStyle w:val="Pieddepage"/>
      <w:spacing w:line="360" w:lineRule="auto"/>
      <w:jc w:val="center"/>
      <w:rPr>
        <w:rFonts w:cstheme="minorHAnsi"/>
        <w:sz w:val="16"/>
        <w:szCs w:val="16"/>
        <w:lang w:val="en-US"/>
      </w:rPr>
    </w:pPr>
    <w:r w:rsidRPr="00221C3C">
      <w:rPr>
        <w:rFonts w:ascii="Arial" w:hAnsi="Arial" w:cs="Arial"/>
        <w:b/>
        <w:bCs/>
        <w:color w:val="000000"/>
        <w:sz w:val="16"/>
        <w:szCs w:val="16"/>
        <w:shd w:val="clear" w:color="auto" w:fill="FFFFFF"/>
        <w:lang w:val="en-US"/>
      </w:rPr>
      <w:t>Tél: + 212 (0)522 227 872    |    E-mail:</w:t>
    </w:r>
    <w:r w:rsidRPr="00221C3C">
      <w:rPr>
        <w:rStyle w:val="apple-converted-space"/>
        <w:rFonts w:ascii="Arial" w:hAnsi="Arial" w:cs="Arial"/>
        <w:b/>
        <w:bCs/>
        <w:color w:val="000000"/>
        <w:sz w:val="16"/>
        <w:szCs w:val="16"/>
        <w:shd w:val="clear" w:color="auto" w:fill="FFFFFF"/>
        <w:lang w:val="en-US"/>
      </w:rPr>
      <w:t> </w:t>
    </w:r>
    <w:hyperlink r:id="rId1" w:history="1">
      <w:r w:rsidRPr="00221C3C">
        <w:rPr>
          <w:rStyle w:val="Lienhypertexte"/>
          <w:rFonts w:ascii="Arial" w:hAnsi="Arial" w:cs="Arial"/>
          <w:b/>
          <w:bCs/>
          <w:color w:val="000000"/>
          <w:sz w:val="16"/>
          <w:szCs w:val="16"/>
          <w:shd w:val="clear" w:color="auto" w:fill="FFFFFF"/>
          <w:lang w:val="en-US"/>
        </w:rPr>
        <w:t>contact@lasry-expertise-audit.com</w:t>
      </w:r>
    </w:hyperlink>
    <w:r w:rsidRPr="00221C3C">
      <w:rPr>
        <w:b/>
        <w:bCs/>
        <w:lang w:val="en-US"/>
      </w:rPr>
      <w:t xml:space="preserve">   </w:t>
    </w:r>
    <w:r w:rsidRPr="00221C3C">
      <w:rPr>
        <w:rFonts w:ascii="Arial" w:hAnsi="Arial" w:cs="Arial"/>
        <w:b/>
        <w:bCs/>
        <w:color w:val="000000"/>
        <w:sz w:val="16"/>
        <w:szCs w:val="16"/>
        <w:shd w:val="clear" w:color="auto" w:fill="FFFFFF"/>
        <w:lang w:val="en-US"/>
      </w:rPr>
      <w:t xml:space="preserve"> |    Web: www.lasry-expertise-audit.com</w:t>
    </w:r>
  </w:p>
  <w:p w:rsidR="00A87103" w:rsidRPr="00A87103" w:rsidRDefault="00A87103" w:rsidP="00A87103">
    <w:pPr>
      <w:spacing w:after="0"/>
      <w:jc w:val="center"/>
      <w:rPr>
        <w:rFonts w:eastAsia="Times New Roman" w:cstheme="minorHAnsi"/>
        <w:sz w:val="20"/>
        <w:szCs w:val="20"/>
        <w:lang w:val="en-US" w:eastAsia="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74AD" w:rsidRDefault="00A074AD" w:rsidP="00E41A65">
      <w:pPr>
        <w:spacing w:after="0" w:line="240" w:lineRule="auto"/>
      </w:pPr>
      <w:r>
        <w:separator/>
      </w:r>
    </w:p>
  </w:footnote>
  <w:footnote w:type="continuationSeparator" w:id="1">
    <w:p w:rsidR="00A074AD" w:rsidRDefault="00A074AD" w:rsidP="00E41A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A65" w:rsidRDefault="003A1573" w:rsidP="007C0E38">
    <w:pPr>
      <w:pStyle w:val="En-tte"/>
      <w:tabs>
        <w:tab w:val="clear" w:pos="4536"/>
        <w:tab w:val="clear" w:pos="9072"/>
      </w:tabs>
      <w:jc w:val="center"/>
    </w:pPr>
    <w:r>
      <w:rPr>
        <w:noProof/>
        <w:lang w:eastAsia="fr-FR"/>
      </w:rPr>
      <w:drawing>
        <wp:anchor distT="0" distB="0" distL="114300" distR="114300" simplePos="0" relativeHeight="251662336" behindDoc="0" locked="0" layoutInCell="1" allowOverlap="1">
          <wp:simplePos x="0" y="0"/>
          <wp:positionH relativeFrom="column">
            <wp:posOffset>4897157</wp:posOffset>
          </wp:positionH>
          <wp:positionV relativeFrom="paragraph">
            <wp:posOffset>181969</wp:posOffset>
          </wp:positionV>
          <wp:extent cx="1414732" cy="1061049"/>
          <wp:effectExtent l="0" t="0" r="0" b="0"/>
          <wp:wrapNone/>
          <wp:docPr id="2" name="Image 1" descr="\\axaf-ad\compta\Suivie Dossiers 2017\LOGO LASRY &amp; ASSOCI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xaf-ad\compta\Suivie Dossiers 2017\LOGO LASRY &amp; ASSOCIE\1.png"/>
                  <pic:cNvPicPr>
                    <a:picLocks noChangeAspect="1" noChangeArrowheads="1"/>
                  </pic:cNvPicPr>
                </pic:nvPicPr>
                <pic:blipFill>
                  <a:blip r:embed="rId1"/>
                  <a:srcRect/>
                  <a:stretch>
                    <a:fillRect/>
                  </a:stretch>
                </pic:blipFill>
                <pic:spPr bwMode="auto">
                  <a:xfrm>
                    <a:off x="0" y="0"/>
                    <a:ext cx="1414732" cy="1061049"/>
                  </a:xfrm>
                  <a:prstGeom prst="rect">
                    <a:avLst/>
                  </a:prstGeom>
                  <a:noFill/>
                  <a:ln w="9525">
                    <a:noFill/>
                    <a:miter lim="800000"/>
                    <a:headEnd/>
                    <a:tailEnd/>
                  </a:ln>
                </pic:spPr>
              </pic:pic>
            </a:graphicData>
          </a:graphic>
        </wp:anchor>
      </w:drawing>
    </w:r>
    <w:r w:rsidR="00A87103">
      <w:rPr>
        <w:noProof/>
        <w:lang w:eastAsia="fr-FR"/>
      </w:rPr>
      <w:drawing>
        <wp:anchor distT="0" distB="0" distL="114300" distR="114300" simplePos="0" relativeHeight="251661312" behindDoc="0" locked="0" layoutInCell="1" allowOverlap="1">
          <wp:simplePos x="0" y="0"/>
          <wp:positionH relativeFrom="column">
            <wp:posOffset>-554738</wp:posOffset>
          </wp:positionH>
          <wp:positionV relativeFrom="paragraph">
            <wp:posOffset>225102</wp:posOffset>
          </wp:positionV>
          <wp:extent cx="1130060" cy="965864"/>
          <wp:effectExtent l="0" t="0" r="0" b="0"/>
          <wp:wrapNone/>
          <wp:docPr id="1" name="Image 1" descr="C:\Users\Brahim\Desktop\Lasry\Photo\logo axaf final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him\Desktop\Lasry\Photo\logo axaf final37.png"/>
                  <pic:cNvPicPr>
                    <a:picLocks noChangeAspect="1" noChangeArrowheads="1"/>
                  </pic:cNvPicPr>
                </pic:nvPicPr>
                <pic:blipFill>
                  <a:blip r:embed="rId2"/>
                  <a:srcRect/>
                  <a:stretch>
                    <a:fillRect/>
                  </a:stretch>
                </pic:blipFill>
                <pic:spPr bwMode="auto">
                  <a:xfrm>
                    <a:off x="0" y="0"/>
                    <a:ext cx="1130061" cy="965865"/>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15362"/>
    <o:shapelayout v:ext="edit">
      <o:idmap v:ext="edit" data="6"/>
      <o:rules v:ext="edit">
        <o:r id="V:Rule2" type="connector" idref="#_x0000_s6145"/>
      </o:rules>
    </o:shapelayout>
  </w:hdrShapeDefaults>
  <w:footnotePr>
    <w:footnote w:id="0"/>
    <w:footnote w:id="1"/>
  </w:footnotePr>
  <w:endnotePr>
    <w:endnote w:id="0"/>
    <w:endnote w:id="1"/>
  </w:endnotePr>
  <w:compat/>
  <w:rsids>
    <w:rsidRoot w:val="006B3623"/>
    <w:rsid w:val="000317EF"/>
    <w:rsid w:val="00040F08"/>
    <w:rsid w:val="001139AA"/>
    <w:rsid w:val="00120821"/>
    <w:rsid w:val="00130262"/>
    <w:rsid w:val="0016139E"/>
    <w:rsid w:val="001B4244"/>
    <w:rsid w:val="001D56FC"/>
    <w:rsid w:val="00221C3C"/>
    <w:rsid w:val="003A1573"/>
    <w:rsid w:val="003A26F2"/>
    <w:rsid w:val="003B41DD"/>
    <w:rsid w:val="00445C4A"/>
    <w:rsid w:val="005F241C"/>
    <w:rsid w:val="006542EC"/>
    <w:rsid w:val="006B3623"/>
    <w:rsid w:val="007C0E38"/>
    <w:rsid w:val="008D024F"/>
    <w:rsid w:val="009B37E0"/>
    <w:rsid w:val="00A074AD"/>
    <w:rsid w:val="00A51AB6"/>
    <w:rsid w:val="00A55F82"/>
    <w:rsid w:val="00A87103"/>
    <w:rsid w:val="00A97A63"/>
    <w:rsid w:val="00B841A3"/>
    <w:rsid w:val="00BF7F91"/>
    <w:rsid w:val="00C406C3"/>
    <w:rsid w:val="00C457DB"/>
    <w:rsid w:val="00D13201"/>
    <w:rsid w:val="00E41A65"/>
    <w:rsid w:val="00E94494"/>
    <w:rsid w:val="00F76B4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821"/>
  </w:style>
  <w:style w:type="paragraph" w:styleId="Titre2">
    <w:name w:val="heading 2"/>
    <w:basedOn w:val="Normal"/>
    <w:link w:val="Titre2Car"/>
    <w:uiPriority w:val="9"/>
    <w:qFormat/>
    <w:rsid w:val="006B362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6B3623"/>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B3623"/>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6B3623"/>
    <w:rPr>
      <w:rFonts w:ascii="Times New Roman" w:eastAsia="Times New Roman" w:hAnsi="Times New Roman" w:cs="Times New Roman"/>
      <w:b/>
      <w:bCs/>
      <w:sz w:val="27"/>
      <w:szCs w:val="27"/>
      <w:lang w:eastAsia="fr-FR"/>
    </w:rPr>
  </w:style>
  <w:style w:type="paragraph" w:styleId="NormalWeb">
    <w:name w:val="Normal (Web)"/>
    <w:basedOn w:val="Normal"/>
    <w:uiPriority w:val="99"/>
    <w:unhideWhenUsed/>
    <w:rsid w:val="006B362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6B3623"/>
  </w:style>
  <w:style w:type="paragraph" w:styleId="En-tte">
    <w:name w:val="header"/>
    <w:basedOn w:val="Normal"/>
    <w:link w:val="En-tteCar"/>
    <w:uiPriority w:val="99"/>
    <w:semiHidden/>
    <w:unhideWhenUsed/>
    <w:rsid w:val="00E41A6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41A65"/>
  </w:style>
  <w:style w:type="paragraph" w:styleId="Pieddepage">
    <w:name w:val="footer"/>
    <w:basedOn w:val="Normal"/>
    <w:link w:val="PieddepageCar"/>
    <w:uiPriority w:val="99"/>
    <w:unhideWhenUsed/>
    <w:rsid w:val="00E41A6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41A65"/>
  </w:style>
  <w:style w:type="paragraph" w:styleId="Textedebulles">
    <w:name w:val="Balloon Text"/>
    <w:basedOn w:val="Normal"/>
    <w:link w:val="TextedebullesCar"/>
    <w:uiPriority w:val="99"/>
    <w:semiHidden/>
    <w:unhideWhenUsed/>
    <w:rsid w:val="00E41A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41A65"/>
    <w:rPr>
      <w:rFonts w:ascii="Tahoma" w:hAnsi="Tahoma" w:cs="Tahoma"/>
      <w:sz w:val="16"/>
      <w:szCs w:val="16"/>
    </w:rPr>
  </w:style>
  <w:style w:type="paragraph" w:customStyle="1" w:styleId="chapo">
    <w:name w:val="chapo"/>
    <w:basedOn w:val="Normal"/>
    <w:rsid w:val="00A97A6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97A63"/>
    <w:rPr>
      <w:b/>
      <w:bCs/>
    </w:rPr>
  </w:style>
  <w:style w:type="character" w:styleId="Lienhypertexte">
    <w:name w:val="Hyperlink"/>
    <w:basedOn w:val="Policepardfaut"/>
    <w:uiPriority w:val="99"/>
    <w:semiHidden/>
    <w:unhideWhenUsed/>
    <w:rsid w:val="00A97A63"/>
    <w:rPr>
      <w:color w:val="0000FF"/>
      <w:u w:val="single"/>
    </w:rPr>
  </w:style>
</w:styles>
</file>

<file path=word/webSettings.xml><?xml version="1.0" encoding="utf-8"?>
<w:webSettings xmlns:r="http://schemas.openxmlformats.org/officeDocument/2006/relationships" xmlns:w="http://schemas.openxmlformats.org/wordprocessingml/2006/main">
  <w:divs>
    <w:div w:id="291325581">
      <w:bodyDiv w:val="1"/>
      <w:marLeft w:val="0"/>
      <w:marRight w:val="0"/>
      <w:marTop w:val="0"/>
      <w:marBottom w:val="0"/>
      <w:divBdr>
        <w:top w:val="none" w:sz="0" w:space="0" w:color="auto"/>
        <w:left w:val="none" w:sz="0" w:space="0" w:color="auto"/>
        <w:bottom w:val="none" w:sz="0" w:space="0" w:color="auto"/>
        <w:right w:val="none" w:sz="0" w:space="0" w:color="auto"/>
      </w:divBdr>
      <w:divsChild>
        <w:div w:id="1655841989">
          <w:marLeft w:val="0"/>
          <w:marRight w:val="0"/>
          <w:marTop w:val="0"/>
          <w:marBottom w:val="0"/>
          <w:divBdr>
            <w:top w:val="none" w:sz="0" w:space="0" w:color="auto"/>
            <w:left w:val="none" w:sz="0" w:space="0" w:color="auto"/>
            <w:bottom w:val="none" w:sz="0" w:space="0" w:color="auto"/>
            <w:right w:val="none" w:sz="0" w:space="0" w:color="auto"/>
          </w:divBdr>
        </w:div>
        <w:div w:id="523326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dias24.com/MAROC/ECONOMIE/170598-Comment-la-DGI-decide-d-un-controle-fiscal.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ontact@lasry-expertise-audit.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457</Words>
  <Characters>2514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Brahim</cp:lastModifiedBy>
  <cp:revision>3</cp:revision>
  <cp:lastPrinted>2018-04-12T15:57:00Z</cp:lastPrinted>
  <dcterms:created xsi:type="dcterms:W3CDTF">2018-04-12T15:58:00Z</dcterms:created>
  <dcterms:modified xsi:type="dcterms:W3CDTF">2018-05-07T10:30:00Z</dcterms:modified>
</cp:coreProperties>
</file>