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8" w:rsidRDefault="007C0E38" w:rsidP="00E41A65">
      <w:pPr>
        <w:shd w:val="clear" w:color="auto" w:fill="FFFFFF"/>
        <w:spacing w:after="225" w:line="390" w:lineRule="atLeast"/>
        <w:jc w:val="both"/>
        <w:outlineLvl w:val="1"/>
        <w:rPr>
          <w:rFonts w:asciiTheme="majorBidi" w:eastAsia="Times New Roman" w:hAnsiTheme="majorBidi" w:cstheme="majorBidi"/>
          <w:color w:val="0070C0"/>
          <w:sz w:val="30"/>
          <w:szCs w:val="30"/>
          <w:lang w:eastAsia="fr-FR"/>
        </w:rPr>
      </w:pPr>
    </w:p>
    <w:p w:rsidR="00E41A65" w:rsidRPr="00A97A63" w:rsidRDefault="00FD53C1" w:rsidP="00FD53C1">
      <w:pPr>
        <w:shd w:val="clear" w:color="auto" w:fill="FFFFFF"/>
        <w:spacing w:after="225" w:line="390" w:lineRule="atLeast"/>
        <w:outlineLvl w:val="1"/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</w:pPr>
      <w:r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>Flash d’information N° 4</w:t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A87103">
        <w:rPr>
          <w:rFonts w:eastAsia="Times New Roman" w:cstheme="minorHAnsi"/>
          <w:color w:val="0070C0"/>
          <w:sz w:val="30"/>
          <w:szCs w:val="30"/>
          <w:lang w:eastAsia="fr-FR"/>
        </w:rPr>
        <w:t xml:space="preserve">        </w:t>
      </w:r>
      <w:r w:rsidR="00A8710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>
        <w:rPr>
          <w:rFonts w:eastAsia="Times New Roman" w:cstheme="minorHAnsi"/>
          <w:color w:val="0070C0"/>
          <w:sz w:val="30"/>
          <w:szCs w:val="30"/>
          <w:lang w:eastAsia="fr-FR"/>
        </w:rPr>
        <w:t xml:space="preserve">  </w:t>
      </w:r>
      <w:r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877F9A"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 xml:space="preserve">Avril </w:t>
      </w:r>
      <w:r w:rsidR="00E41A65" w:rsidRPr="00A97A63"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>201</w:t>
      </w:r>
      <w:r w:rsidR="00877F9A"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>8</w:t>
      </w: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  <w:lang w:eastAsia="fr-FR"/>
        </w:rPr>
      </w:pPr>
      <w:r>
        <w:rPr>
          <w:rFonts w:cstheme="minorHAnsi"/>
          <w:b/>
          <w:sz w:val="24"/>
          <w:szCs w:val="24"/>
          <w:lang w:eastAsia="fr-FR"/>
        </w:rPr>
        <w:t>Communiqué</w:t>
      </w:r>
    </w:p>
    <w:p w:rsidR="00877F9A" w:rsidRDefault="00877F9A" w:rsidP="00877F9A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Default="00877F9A" w:rsidP="00877F9A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t xml:space="preserve">INSTITUTION D’UN CADRE FISCAL </w:t>
      </w:r>
      <w:r>
        <w:rPr>
          <w:rFonts w:cstheme="minorHAnsi"/>
          <w:b/>
          <w:sz w:val="24"/>
          <w:szCs w:val="24"/>
          <w:lang w:eastAsia="fr-FR"/>
        </w:rPr>
        <w:t>DE FACILITATION</w:t>
      </w: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t>REGISSANT LA CESSATION TEMPORAIRE D'ACTIVITE DES ENTREPRISES</w:t>
      </w:r>
    </w:p>
    <w:p w:rsidR="00877F9A" w:rsidRPr="002363C0" w:rsidRDefault="00877F9A" w:rsidP="00877F9A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bookmarkStart w:id="0" w:name="_GoBack"/>
      <w:bookmarkEnd w:id="0"/>
      <w:r w:rsidRPr="002363C0">
        <w:rPr>
          <w:rFonts w:cstheme="minorHAnsi"/>
          <w:bCs/>
          <w:sz w:val="24"/>
          <w:szCs w:val="24"/>
          <w:lang w:eastAsia="fr-FR"/>
        </w:rPr>
        <w:t>Les entreprises qui rencontrent des difficultés momentanées les empêchant de poursuivre leur activité, peuvent bénéficier du nouveau dispositif fiscal de facilitation introduit par la loi de finances pour l’année 2018</w:t>
      </w:r>
      <w:r>
        <w:rPr>
          <w:rFonts w:cstheme="minorHAnsi"/>
          <w:bCs/>
          <w:sz w:val="24"/>
          <w:szCs w:val="24"/>
          <w:lang w:eastAsia="fr-FR"/>
        </w:rPr>
        <w:t xml:space="preserve"> </w:t>
      </w:r>
      <w:r w:rsidRPr="002363C0">
        <w:rPr>
          <w:rFonts w:cstheme="minorHAnsi"/>
          <w:bCs/>
          <w:sz w:val="24"/>
          <w:szCs w:val="24"/>
          <w:lang w:eastAsia="fr-FR"/>
        </w:rPr>
        <w:t>leur permet</w:t>
      </w:r>
      <w:r>
        <w:rPr>
          <w:rFonts w:cstheme="minorHAnsi"/>
          <w:bCs/>
          <w:sz w:val="24"/>
          <w:szCs w:val="24"/>
          <w:lang w:eastAsia="fr-FR"/>
        </w:rPr>
        <w:t>tant</w:t>
      </w:r>
      <w:r w:rsidRPr="002363C0">
        <w:rPr>
          <w:rFonts w:cstheme="minorHAnsi"/>
          <w:bCs/>
          <w:sz w:val="24"/>
          <w:szCs w:val="24"/>
          <w:lang w:eastAsia="fr-FR"/>
        </w:rPr>
        <w:t xml:space="preserve"> d’effectuer une cessation temporaire d'activité</w:t>
      </w:r>
      <w:r>
        <w:rPr>
          <w:rFonts w:cstheme="minorHAnsi"/>
          <w:bCs/>
          <w:sz w:val="24"/>
          <w:szCs w:val="24"/>
          <w:lang w:eastAsia="fr-FR"/>
        </w:rPr>
        <w:t>.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t>Qui peut souscrire une déclaration de cessation temporaire d'activité ?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>Ce dispositif s'applique aux entreprises qu’elles soient imposables à l’impôt sur les sociétés ou à l’impôt sur le revenu au titre de leurs revenus professionnels déterminés selon le régime du résultat net réel ou celui du résultat net simplifié ou qu’elles en soient exonérées.</w:t>
      </w:r>
    </w:p>
    <w:p w:rsidR="00877F9A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t xml:space="preserve">Formalités 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>Les entreprises souscrivent la déclaration de cessation temporaire d'activité, selon le modèle n°ADC400F-18I (</w:t>
      </w:r>
      <w:hyperlink r:id="rId6" w:history="1">
        <w:r w:rsidRPr="002363C0">
          <w:rPr>
            <w:rStyle w:val="Lienhypertexte"/>
            <w:rFonts w:cstheme="minorHAnsi"/>
            <w:sz w:val="24"/>
            <w:szCs w:val="24"/>
          </w:rPr>
          <w:t>www.tax.gov.ma</w:t>
        </w:r>
      </w:hyperlink>
      <w:r w:rsidRPr="002363C0">
        <w:rPr>
          <w:rFonts w:cstheme="minorHAnsi"/>
          <w:bCs/>
          <w:sz w:val="24"/>
          <w:szCs w:val="24"/>
          <w:lang w:eastAsia="fr-FR"/>
        </w:rPr>
        <w:t xml:space="preserve"> ), indiquant les motifs justifiant la cessation temporaire de leur activité.</w:t>
      </w:r>
    </w:p>
    <w:p w:rsidR="00877F9A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>Cette déclaration doit être déposée dans le mois qui suit la date de clôture du dernier exercice de leur activité.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t xml:space="preserve">Période 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>Les entreprises peuvent souscrire la déclaration de cessation temporaire pour une période de deux exercices, renouvelable pour un seul exercice.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>Ce dispositif est applicable aux exercices ouverts à compter du 1</w:t>
      </w:r>
      <w:r w:rsidRPr="002363C0">
        <w:rPr>
          <w:rFonts w:cstheme="minorHAnsi"/>
          <w:bCs/>
          <w:sz w:val="24"/>
          <w:szCs w:val="24"/>
          <w:vertAlign w:val="superscript"/>
          <w:lang w:eastAsia="fr-FR"/>
        </w:rPr>
        <w:t>er</w:t>
      </w:r>
      <w:r w:rsidRPr="002363C0">
        <w:rPr>
          <w:rFonts w:cstheme="minorHAnsi"/>
          <w:bCs/>
          <w:sz w:val="24"/>
          <w:szCs w:val="24"/>
          <w:lang w:eastAsia="fr-FR"/>
        </w:rPr>
        <w:t xml:space="preserve"> janvier 2018. </w:t>
      </w:r>
    </w:p>
    <w:p w:rsidR="00877F9A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lastRenderedPageBreak/>
        <w:t>Avantages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>Les entreprises ayant souscrit la déclaration de cessation temporaire d'activité, sont exonérées du minimum de la cotisation minimale dû au titre des exercices concernés par cette déclaration.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>
        <w:rPr>
          <w:rFonts w:cstheme="minorHAnsi"/>
          <w:bCs/>
          <w:sz w:val="24"/>
          <w:szCs w:val="24"/>
          <w:lang w:eastAsia="fr-FR"/>
        </w:rPr>
        <w:t>L</w:t>
      </w:r>
      <w:r w:rsidRPr="002363C0">
        <w:rPr>
          <w:rFonts w:cstheme="minorHAnsi"/>
          <w:bCs/>
          <w:sz w:val="24"/>
          <w:szCs w:val="24"/>
          <w:lang w:eastAsia="fr-FR"/>
        </w:rPr>
        <w:t>es en</w:t>
      </w:r>
      <w:r>
        <w:rPr>
          <w:rFonts w:cstheme="minorHAnsi"/>
          <w:bCs/>
          <w:sz w:val="24"/>
          <w:szCs w:val="24"/>
          <w:lang w:eastAsia="fr-FR"/>
        </w:rPr>
        <w:t>treprises assujetties à la TVA</w:t>
      </w:r>
      <w:r w:rsidRPr="002363C0">
        <w:rPr>
          <w:rFonts w:cstheme="minorHAnsi"/>
          <w:bCs/>
          <w:sz w:val="24"/>
          <w:szCs w:val="24"/>
          <w:lang w:eastAsia="fr-FR"/>
        </w:rPr>
        <w:t xml:space="preserve"> ne doivent déposer qu'une seule déclaration de TVA par an, concernant le chiffre d'affaires se rapportant à l’année précédente et ce, avant la fin du mois de janvier de chaque année. Ces entreprises doivent verser, éventuellement, la TVA correspondante.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>Ces entreprises doivent</w:t>
      </w:r>
      <w:r>
        <w:rPr>
          <w:rFonts w:cstheme="minorHAnsi"/>
          <w:bCs/>
          <w:sz w:val="24"/>
          <w:szCs w:val="24"/>
          <w:lang w:eastAsia="fr-FR"/>
        </w:rPr>
        <w:t>, néanmoins,</w:t>
      </w:r>
      <w:r w:rsidRPr="002363C0">
        <w:rPr>
          <w:rFonts w:cstheme="minorHAnsi"/>
          <w:bCs/>
          <w:sz w:val="24"/>
          <w:szCs w:val="24"/>
          <w:lang w:eastAsia="fr-FR"/>
        </w:rPr>
        <w:t xml:space="preserve"> continuer à produire leurs déclarations fiscales en matière d'impôt sur les sociétés et d'impôt sur le revenu au titre des revenus professionnels. </w:t>
      </w: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t>Reprise d’activité</w:t>
      </w:r>
    </w:p>
    <w:p w:rsidR="00877F9A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Cs/>
          <w:sz w:val="24"/>
          <w:szCs w:val="24"/>
          <w:lang w:eastAsia="fr-FR"/>
        </w:rPr>
        <w:t xml:space="preserve">Si l’entreprise reprend son activité pendant la période visée par la déclaration précitée, elle doit en aviser l’administration </w:t>
      </w:r>
      <w:r>
        <w:rPr>
          <w:rFonts w:cstheme="minorHAnsi"/>
          <w:bCs/>
          <w:sz w:val="24"/>
          <w:szCs w:val="24"/>
          <w:lang w:eastAsia="fr-FR"/>
        </w:rPr>
        <w:t xml:space="preserve">fiscale </w:t>
      </w:r>
      <w:r w:rsidRPr="002363C0">
        <w:rPr>
          <w:rFonts w:cstheme="minorHAnsi"/>
          <w:bCs/>
          <w:sz w:val="24"/>
          <w:szCs w:val="24"/>
          <w:lang w:eastAsia="fr-FR"/>
        </w:rPr>
        <w:t>par lettre d’information</w:t>
      </w:r>
      <w:r>
        <w:rPr>
          <w:rFonts w:cstheme="minorHAnsi"/>
          <w:bCs/>
          <w:sz w:val="24"/>
          <w:szCs w:val="24"/>
          <w:lang w:eastAsia="fr-FR"/>
        </w:rPr>
        <w:t xml:space="preserve"> selon le modèle n°ADC410F-18I (</w:t>
      </w:r>
      <w:hyperlink r:id="rId7" w:history="1">
        <w:r w:rsidRPr="0069138E">
          <w:rPr>
            <w:rStyle w:val="Lienhypertexte"/>
            <w:rFonts w:cstheme="minorHAnsi"/>
            <w:sz w:val="24"/>
            <w:szCs w:val="24"/>
          </w:rPr>
          <w:t>www.tax.gov.ma</w:t>
        </w:r>
      </w:hyperlink>
      <w:r>
        <w:rPr>
          <w:rFonts w:cstheme="minorHAnsi"/>
          <w:bCs/>
          <w:sz w:val="24"/>
          <w:szCs w:val="24"/>
          <w:lang w:eastAsia="fr-FR"/>
        </w:rPr>
        <w:t xml:space="preserve"> )</w:t>
      </w:r>
      <w:r w:rsidRPr="002363C0">
        <w:rPr>
          <w:rFonts w:cstheme="minorHAnsi"/>
          <w:bCs/>
          <w:sz w:val="24"/>
          <w:szCs w:val="24"/>
          <w:lang w:eastAsia="fr-FR"/>
        </w:rPr>
        <w:t>, dans un délai ne dépassant pas un mois à compter de la date de reprise de l’activité et doit procéder à la régularisation de sa situation fiscale au titre de l’exercice concerné dans les conditions du droit commun.</w:t>
      </w: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  <w:lang w:eastAsia="fr-FR"/>
        </w:rPr>
      </w:pPr>
    </w:p>
    <w:p w:rsidR="00877F9A" w:rsidRPr="002363C0" w:rsidRDefault="00877F9A" w:rsidP="00877F9A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  <w:r w:rsidRPr="002363C0">
        <w:rPr>
          <w:rFonts w:cstheme="minorHAnsi"/>
          <w:b/>
          <w:sz w:val="24"/>
          <w:szCs w:val="24"/>
          <w:lang w:eastAsia="fr-FR"/>
        </w:rPr>
        <w:t xml:space="preserve">Références  </w:t>
      </w:r>
      <w:r>
        <w:rPr>
          <w:rFonts w:cstheme="minorHAnsi"/>
          <w:b/>
          <w:sz w:val="24"/>
          <w:szCs w:val="24"/>
          <w:lang w:eastAsia="fr-FR"/>
        </w:rPr>
        <w:t>juridiques</w:t>
      </w: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both"/>
        <w:rPr>
          <w:rFonts w:cstheme="minorHAnsi"/>
          <w:bCs/>
          <w:sz w:val="24"/>
          <w:szCs w:val="24"/>
          <w:lang w:eastAsia="fr-FR"/>
        </w:rPr>
      </w:pPr>
      <w:r w:rsidRPr="002363C0">
        <w:rPr>
          <w:rFonts w:cstheme="minorHAnsi"/>
          <w:b/>
          <w:i/>
          <w:iCs/>
          <w:sz w:val="24"/>
          <w:szCs w:val="24"/>
          <w:lang w:eastAsia="fr-FR"/>
        </w:rPr>
        <w:t>Articles du CGI :</w:t>
      </w:r>
      <w:r w:rsidRPr="002363C0">
        <w:rPr>
          <w:rFonts w:cstheme="minorHAnsi"/>
          <w:bCs/>
          <w:i/>
          <w:iCs/>
          <w:sz w:val="24"/>
          <w:szCs w:val="24"/>
          <w:lang w:eastAsia="fr-FR"/>
        </w:rPr>
        <w:t xml:space="preserve"> 144-I-C-3°, 150 bis, 221-I  et 232-VIII-17°</w:t>
      </w:r>
    </w:p>
    <w:p w:rsidR="00877F9A" w:rsidRPr="002363C0" w:rsidRDefault="00877F9A" w:rsidP="00877F9A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  <w:lang w:eastAsia="fr-FR"/>
        </w:rPr>
      </w:pPr>
    </w:p>
    <w:p w:rsidR="00082CD3" w:rsidRPr="00A97A63" w:rsidRDefault="00E605D4" w:rsidP="00A97A63">
      <w:pPr>
        <w:pStyle w:val="NormalWeb"/>
        <w:spacing w:before="18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</w:rPr>
      </w:pPr>
    </w:p>
    <w:sectPr w:rsidR="00082CD3" w:rsidRPr="00A97A63" w:rsidSect="003A1573">
      <w:headerReference w:type="default" r:id="rId8"/>
      <w:footerReference w:type="default" r:id="rId9"/>
      <w:pgSz w:w="11906" w:h="16838"/>
      <w:pgMar w:top="2269" w:right="1417" w:bottom="2552" w:left="1417" w:header="284" w:footer="5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D4" w:rsidRDefault="00E605D4" w:rsidP="00E41A65">
      <w:pPr>
        <w:spacing w:after="0" w:line="240" w:lineRule="auto"/>
      </w:pPr>
      <w:r>
        <w:separator/>
      </w:r>
    </w:p>
  </w:endnote>
  <w:endnote w:type="continuationSeparator" w:id="1">
    <w:p w:rsidR="00E605D4" w:rsidRDefault="00E605D4" w:rsidP="00E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03" w:rsidRPr="00221C3C" w:rsidRDefault="00A544D1" w:rsidP="00A87103">
    <w:pPr>
      <w:spacing w:after="0"/>
      <w:jc w:val="center"/>
      <w:rPr>
        <w:rFonts w:eastAsia="Times New Roman" w:cstheme="minorHAnsi"/>
        <w:b/>
        <w:bCs/>
        <w:sz w:val="18"/>
        <w:szCs w:val="18"/>
        <w:lang w:eastAsia="fr-FR"/>
      </w:rPr>
    </w:pPr>
    <w:r>
      <w:rPr>
        <w:rFonts w:eastAsia="Times New Roman" w:cstheme="minorHAnsi"/>
        <w:b/>
        <w:bCs/>
        <w:noProof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132.9pt;margin-top:-6.1pt;width:175.95pt;height:0;flip:y;z-index:251660288" o:connectortype="straight" strokeweight=".5pt"/>
      </w:pict>
    </w:r>
    <w:r w:rsidR="00A87103" w:rsidRPr="00221C3C">
      <w:rPr>
        <w:rFonts w:eastAsia="Times New Roman" w:cstheme="minorHAnsi"/>
        <w:b/>
        <w:bCs/>
        <w:sz w:val="18"/>
        <w:szCs w:val="18"/>
        <w:lang w:eastAsia="fr-FR"/>
      </w:rPr>
      <w:t>ANGLE RUE OMAR RIFFI ET EMILE GROS RES.TITRIT II IMM B3 ETG N°1 20120 CASABLANCA</w:t>
    </w:r>
  </w:p>
  <w:p w:rsidR="00C457DB" w:rsidRPr="00221C3C" w:rsidRDefault="00A87103" w:rsidP="00A87103">
    <w:pPr>
      <w:spacing w:after="0"/>
      <w:jc w:val="center"/>
      <w:rPr>
        <w:rFonts w:eastAsia="Times New Roman" w:cstheme="minorHAnsi"/>
        <w:b/>
        <w:bCs/>
        <w:sz w:val="18"/>
        <w:szCs w:val="18"/>
        <w:lang w:val="en-US" w:eastAsia="fr-FR"/>
      </w:rPr>
    </w:pPr>
    <w:r w:rsidRPr="00221C3C">
      <w:rPr>
        <w:rFonts w:eastAsia="Times New Roman" w:cstheme="minorHAnsi"/>
        <w:b/>
        <w:bCs/>
        <w:sz w:val="18"/>
        <w:szCs w:val="18"/>
        <w:lang w:val="en-US" w:eastAsia="fr-FR"/>
      </w:rPr>
      <w:t>RC: 138481   |   TP: 34253627</w:t>
    </w:r>
    <w:r w:rsidR="003A1573">
      <w:rPr>
        <w:rFonts w:eastAsia="Times New Roman" w:cstheme="minorHAnsi"/>
        <w:b/>
        <w:bCs/>
        <w:sz w:val="18"/>
        <w:szCs w:val="18"/>
        <w:lang w:val="en-US" w:eastAsia="fr-FR"/>
      </w:rPr>
      <w:t xml:space="preserve"> </w:t>
    </w:r>
    <w:r w:rsidRPr="00221C3C">
      <w:rPr>
        <w:rFonts w:eastAsia="Times New Roman" w:cstheme="minorHAnsi"/>
        <w:b/>
        <w:bCs/>
        <w:sz w:val="18"/>
        <w:szCs w:val="18"/>
        <w:lang w:val="en-US" w:eastAsia="fr-FR"/>
      </w:rPr>
      <w:t xml:space="preserve">  |    CNSS: 6941216   |    IF: 1102175</w:t>
    </w:r>
    <w:r w:rsidR="003A1573">
      <w:rPr>
        <w:rFonts w:eastAsia="Times New Roman" w:cstheme="minorHAnsi"/>
        <w:b/>
        <w:bCs/>
        <w:sz w:val="18"/>
        <w:szCs w:val="18"/>
        <w:lang w:val="en-US" w:eastAsia="fr-FR"/>
      </w:rPr>
      <w:t xml:space="preserve"> </w:t>
    </w:r>
    <w:r w:rsidRPr="00221C3C">
      <w:rPr>
        <w:rFonts w:eastAsia="Times New Roman" w:cstheme="minorHAnsi"/>
        <w:b/>
        <w:bCs/>
        <w:sz w:val="18"/>
        <w:szCs w:val="18"/>
        <w:lang w:val="en-US" w:eastAsia="fr-FR"/>
      </w:rPr>
      <w:t xml:space="preserve">  |   ICE: 000028058000004</w:t>
    </w:r>
  </w:p>
  <w:p w:rsidR="00A87103" w:rsidRPr="00A87103" w:rsidRDefault="00A87103" w:rsidP="00A87103">
    <w:pPr>
      <w:pStyle w:val="Pieddepage"/>
      <w:spacing w:line="360" w:lineRule="auto"/>
      <w:jc w:val="center"/>
      <w:rPr>
        <w:rFonts w:cstheme="minorHAnsi"/>
        <w:sz w:val="16"/>
        <w:szCs w:val="16"/>
        <w:lang w:val="en-US"/>
      </w:rPr>
    </w:pPr>
    <w:r w:rsidRPr="00221C3C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en-US"/>
      </w:rPr>
      <w:t>Tél: + 212 (0)522 227 872    |    E-mail:</w:t>
    </w:r>
    <w:r w:rsidRPr="00221C3C">
      <w:rPr>
        <w:rStyle w:val="apple-converted-space"/>
        <w:rFonts w:ascii="Arial" w:hAnsi="Arial" w:cs="Arial"/>
        <w:b/>
        <w:bCs/>
        <w:color w:val="000000"/>
        <w:sz w:val="16"/>
        <w:szCs w:val="16"/>
        <w:shd w:val="clear" w:color="auto" w:fill="FFFFFF"/>
        <w:lang w:val="en-US"/>
      </w:rPr>
      <w:t> </w:t>
    </w:r>
    <w:hyperlink r:id="rId1" w:history="1">
      <w:r w:rsidRPr="00221C3C">
        <w:rPr>
          <w:rStyle w:val="Lienhypertexte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>contact@lasry-expertise-audit.com</w:t>
      </w:r>
    </w:hyperlink>
    <w:r w:rsidRPr="00221C3C">
      <w:rPr>
        <w:b/>
        <w:bCs/>
        <w:lang w:val="en-US"/>
      </w:rPr>
      <w:t xml:space="preserve">   </w:t>
    </w:r>
    <w:r w:rsidRPr="00221C3C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en-US"/>
      </w:rPr>
      <w:t xml:space="preserve"> |    Web: www.lasry-expertise-audit.com</w:t>
    </w:r>
  </w:p>
  <w:p w:rsidR="00A87103" w:rsidRPr="00A87103" w:rsidRDefault="00A87103" w:rsidP="00A87103">
    <w:pPr>
      <w:spacing w:after="0"/>
      <w:jc w:val="center"/>
      <w:rPr>
        <w:rFonts w:eastAsia="Times New Roman" w:cstheme="minorHAnsi"/>
        <w:sz w:val="20"/>
        <w:szCs w:val="20"/>
        <w:lang w:val="en-US"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D4" w:rsidRDefault="00E605D4" w:rsidP="00E41A65">
      <w:pPr>
        <w:spacing w:after="0" w:line="240" w:lineRule="auto"/>
      </w:pPr>
      <w:r>
        <w:separator/>
      </w:r>
    </w:p>
  </w:footnote>
  <w:footnote w:type="continuationSeparator" w:id="1">
    <w:p w:rsidR="00E605D4" w:rsidRDefault="00E605D4" w:rsidP="00E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65" w:rsidRDefault="003A1573" w:rsidP="007C0E38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4897157</wp:posOffset>
          </wp:positionH>
          <wp:positionV relativeFrom="paragraph">
            <wp:posOffset>181969</wp:posOffset>
          </wp:positionV>
          <wp:extent cx="1414732" cy="1061049"/>
          <wp:effectExtent l="0" t="0" r="0" b="0"/>
          <wp:wrapNone/>
          <wp:docPr id="2" name="Image 1" descr="\\axaf-ad\compta\Suivie Dossiers 2017\LOGO LASRY &amp; ASSOCIE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xaf-ad\compta\Suivie Dossiers 2017\LOGO LASRY &amp; ASSOCIE\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32" cy="1061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103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-554738</wp:posOffset>
          </wp:positionH>
          <wp:positionV relativeFrom="paragraph">
            <wp:posOffset>225102</wp:posOffset>
          </wp:positionV>
          <wp:extent cx="1130060" cy="965864"/>
          <wp:effectExtent l="0" t="0" r="0" b="0"/>
          <wp:wrapNone/>
          <wp:docPr id="1" name="Image 1" descr="C:\Users\Brahim\Desktop\Lasry\Photo\logo axaf final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him\Desktop\Lasry\Photo\logo axaf final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96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B3623"/>
    <w:rsid w:val="00040F08"/>
    <w:rsid w:val="001139AA"/>
    <w:rsid w:val="00120821"/>
    <w:rsid w:val="00130262"/>
    <w:rsid w:val="0016139E"/>
    <w:rsid w:val="001B4244"/>
    <w:rsid w:val="001D56FC"/>
    <w:rsid w:val="00221C3C"/>
    <w:rsid w:val="0030147A"/>
    <w:rsid w:val="003A1573"/>
    <w:rsid w:val="003A26F2"/>
    <w:rsid w:val="003B41DD"/>
    <w:rsid w:val="00431E6D"/>
    <w:rsid w:val="00445C4A"/>
    <w:rsid w:val="004B3FBD"/>
    <w:rsid w:val="005F241C"/>
    <w:rsid w:val="006542EC"/>
    <w:rsid w:val="006B3623"/>
    <w:rsid w:val="007C0E38"/>
    <w:rsid w:val="00877F9A"/>
    <w:rsid w:val="008D024F"/>
    <w:rsid w:val="00956E60"/>
    <w:rsid w:val="009B37E0"/>
    <w:rsid w:val="00A51AB6"/>
    <w:rsid w:val="00A544D1"/>
    <w:rsid w:val="00A55F82"/>
    <w:rsid w:val="00A87103"/>
    <w:rsid w:val="00A97A63"/>
    <w:rsid w:val="00B841A3"/>
    <w:rsid w:val="00BF7F91"/>
    <w:rsid w:val="00C406C3"/>
    <w:rsid w:val="00C457DB"/>
    <w:rsid w:val="00D13201"/>
    <w:rsid w:val="00E35A64"/>
    <w:rsid w:val="00E41A65"/>
    <w:rsid w:val="00E605D4"/>
    <w:rsid w:val="00F76B42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21"/>
  </w:style>
  <w:style w:type="paragraph" w:styleId="Titre2">
    <w:name w:val="heading 2"/>
    <w:basedOn w:val="Normal"/>
    <w:link w:val="Titre2Car"/>
    <w:uiPriority w:val="9"/>
    <w:qFormat/>
    <w:rsid w:val="006B3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3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36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36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B3623"/>
  </w:style>
  <w:style w:type="paragraph" w:styleId="En-tte">
    <w:name w:val="header"/>
    <w:basedOn w:val="Normal"/>
    <w:link w:val="En-tteCar"/>
    <w:uiPriority w:val="99"/>
    <w:semiHidden/>
    <w:unhideWhenUsed/>
    <w:rsid w:val="00E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1A65"/>
  </w:style>
  <w:style w:type="paragraph" w:styleId="Pieddepage">
    <w:name w:val="footer"/>
    <w:basedOn w:val="Normal"/>
    <w:link w:val="PieddepageCar"/>
    <w:uiPriority w:val="99"/>
    <w:unhideWhenUsed/>
    <w:rsid w:val="00E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A65"/>
  </w:style>
  <w:style w:type="paragraph" w:styleId="Textedebulles">
    <w:name w:val="Balloon Text"/>
    <w:basedOn w:val="Normal"/>
    <w:link w:val="TextedebullesCar"/>
    <w:uiPriority w:val="99"/>
    <w:semiHidden/>
    <w:unhideWhenUsed/>
    <w:rsid w:val="00E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A65"/>
    <w:rPr>
      <w:rFonts w:ascii="Tahoma" w:hAnsi="Tahoma" w:cs="Tahoma"/>
      <w:sz w:val="16"/>
      <w:szCs w:val="16"/>
    </w:rPr>
  </w:style>
  <w:style w:type="paragraph" w:customStyle="1" w:styleId="chapo">
    <w:name w:val="chapo"/>
    <w:basedOn w:val="Normal"/>
    <w:rsid w:val="00A9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7A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7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x.gov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.gov.m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sry-expertise-audi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Brahim</cp:lastModifiedBy>
  <cp:revision>8</cp:revision>
  <cp:lastPrinted>2018-04-12T15:57:00Z</cp:lastPrinted>
  <dcterms:created xsi:type="dcterms:W3CDTF">2018-04-16T15:39:00Z</dcterms:created>
  <dcterms:modified xsi:type="dcterms:W3CDTF">2018-05-07T10:32:00Z</dcterms:modified>
</cp:coreProperties>
</file>